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C392" w14:textId="006E189B" w:rsidR="00520F46" w:rsidRPr="00C40BD5" w:rsidRDefault="00520F46" w:rsidP="00EF51B2">
      <w:pPr>
        <w:jc w:val="center"/>
        <w:rPr>
          <w:rFonts w:asciiTheme="majorEastAsia" w:eastAsiaTheme="majorEastAsia" w:hAnsiTheme="majorEastAsia"/>
          <w:sz w:val="24"/>
          <w:szCs w:val="24"/>
        </w:rPr>
      </w:pPr>
      <w:r w:rsidRPr="00603E40">
        <w:rPr>
          <w:rFonts w:asciiTheme="majorEastAsia" w:eastAsiaTheme="majorEastAsia" w:hAnsiTheme="majorEastAsia" w:hint="eastAsia"/>
          <w:color w:val="000000" w:themeColor="text1"/>
          <w:sz w:val="24"/>
          <w:szCs w:val="24"/>
        </w:rPr>
        <w:t>ブ</w:t>
      </w:r>
      <w:r w:rsidRPr="00C40BD5">
        <w:rPr>
          <w:rFonts w:asciiTheme="majorEastAsia" w:eastAsiaTheme="majorEastAsia" w:hAnsiTheme="majorEastAsia" w:hint="eastAsia"/>
          <w:sz w:val="24"/>
          <w:szCs w:val="24"/>
        </w:rPr>
        <w:t>ラックスタート機能契約書【標準契約書</w:t>
      </w:r>
      <w:r w:rsidR="00997B30" w:rsidRPr="00C40BD5">
        <w:rPr>
          <w:rFonts w:asciiTheme="majorEastAsia" w:eastAsiaTheme="majorEastAsia" w:hAnsiTheme="majorEastAsia" w:hint="eastAsia"/>
          <w:sz w:val="24"/>
          <w:szCs w:val="24"/>
        </w:rPr>
        <w:t>（案）</w:t>
      </w:r>
      <w:r w:rsidRPr="00C40BD5">
        <w:rPr>
          <w:rFonts w:asciiTheme="majorEastAsia" w:eastAsiaTheme="majorEastAsia" w:hAnsiTheme="majorEastAsia" w:hint="eastAsia"/>
          <w:sz w:val="24"/>
          <w:szCs w:val="24"/>
        </w:rPr>
        <w:t>】</w:t>
      </w:r>
    </w:p>
    <w:p w14:paraId="25606CCA" w14:textId="77777777" w:rsidR="00520F46" w:rsidRPr="00C40BD5" w:rsidRDefault="00520F46" w:rsidP="00EF51B2"/>
    <w:p w14:paraId="7F3A566C" w14:textId="77777777" w:rsidR="00520F46" w:rsidRPr="00C40BD5" w:rsidRDefault="00520F46" w:rsidP="00EF51B2"/>
    <w:p w14:paraId="7C1273A7" w14:textId="1E277183" w:rsidR="00520F46" w:rsidRPr="00C40BD5" w:rsidRDefault="00520F46" w:rsidP="00B70F37">
      <w:pPr>
        <w:ind w:firstLineChars="100" w:firstLine="220"/>
        <w:rPr>
          <w:sz w:val="22"/>
        </w:rPr>
      </w:pPr>
      <w:r w:rsidRPr="00C40BD5">
        <w:rPr>
          <w:rFonts w:hint="eastAsia"/>
          <w:sz w:val="22"/>
        </w:rPr>
        <w:t>○○株式会社（以下「甲」という。）と中部電力パワーグリッド株式会社（以下「乙」という。）とは，２０２</w:t>
      </w:r>
      <w:r w:rsidR="00997B30" w:rsidRPr="00C40BD5">
        <w:rPr>
          <w:rFonts w:hint="eastAsia"/>
          <w:sz w:val="22"/>
        </w:rPr>
        <w:t>５</w:t>
      </w:r>
      <w:r w:rsidRPr="00C40BD5">
        <w:rPr>
          <w:rFonts w:hint="eastAsia"/>
          <w:sz w:val="22"/>
        </w:rPr>
        <w:t>年</w:t>
      </w:r>
      <w:r w:rsidR="00B70F37" w:rsidRPr="00C40BD5">
        <w:rPr>
          <w:rFonts w:hint="eastAsia"/>
          <w:sz w:val="22"/>
        </w:rPr>
        <w:t>〇〇</w:t>
      </w:r>
      <w:r w:rsidRPr="00C40BD5">
        <w:rPr>
          <w:rFonts w:hint="eastAsia"/>
          <w:sz w:val="22"/>
        </w:rPr>
        <w:t>月</w:t>
      </w:r>
      <w:r w:rsidR="00B70F37" w:rsidRPr="00C40BD5">
        <w:rPr>
          <w:rFonts w:hint="eastAsia"/>
          <w:sz w:val="22"/>
        </w:rPr>
        <w:t>〇〇</w:t>
      </w:r>
      <w:r w:rsidRPr="00C40BD5">
        <w:rPr>
          <w:rFonts w:hint="eastAsia"/>
          <w:sz w:val="22"/>
        </w:rPr>
        <w:t>日に乙が公表したブラックスタート機能募集要綱</w:t>
      </w:r>
      <w:r w:rsidR="009735AD" w:rsidRPr="00C40BD5">
        <w:rPr>
          <w:rFonts w:hint="eastAsia"/>
          <w:sz w:val="22"/>
        </w:rPr>
        <w:t xml:space="preserve">　　　　</w:t>
      </w:r>
      <w:r w:rsidRPr="00C40BD5">
        <w:rPr>
          <w:rFonts w:hint="eastAsia"/>
          <w:sz w:val="22"/>
        </w:rPr>
        <w:t>（２０</w:t>
      </w:r>
      <w:r w:rsidR="00997B30" w:rsidRPr="00C40BD5">
        <w:rPr>
          <w:rFonts w:hint="eastAsia"/>
          <w:sz w:val="22"/>
        </w:rPr>
        <w:t>３０</w:t>
      </w:r>
      <w:r w:rsidRPr="00C40BD5">
        <w:rPr>
          <w:rFonts w:hint="eastAsia"/>
          <w:sz w:val="22"/>
        </w:rPr>
        <w:t>年度向け）（以下「</w:t>
      </w:r>
      <w:r w:rsidR="00B70F37" w:rsidRPr="00C40BD5">
        <w:rPr>
          <w:rFonts w:hint="eastAsia"/>
          <w:sz w:val="22"/>
        </w:rPr>
        <w:t>募集</w:t>
      </w:r>
      <w:r w:rsidRPr="00C40BD5">
        <w:rPr>
          <w:rFonts w:hint="eastAsia"/>
          <w:sz w:val="22"/>
        </w:rPr>
        <w:t>要綱」という。）にもとづき，乙の電力系統における停電解消のためのブラックスタート機能の提供について，次のとおり契約（以下「本契約」という。）する。</w:t>
      </w:r>
    </w:p>
    <w:p w14:paraId="6AEBC8C6" w14:textId="77777777" w:rsidR="00520F46" w:rsidRPr="00C40BD5" w:rsidRDefault="00520F46" w:rsidP="00EF51B2">
      <w:pPr>
        <w:rPr>
          <w:sz w:val="22"/>
        </w:rPr>
      </w:pPr>
    </w:p>
    <w:p w14:paraId="72823E8D" w14:textId="77777777" w:rsidR="00520F46" w:rsidRPr="00C40BD5" w:rsidRDefault="00520F46" w:rsidP="00EF51B2">
      <w:pPr>
        <w:rPr>
          <w:rFonts w:asciiTheme="majorEastAsia" w:eastAsiaTheme="majorEastAsia" w:hAnsiTheme="majorEastAsia"/>
          <w:sz w:val="22"/>
        </w:rPr>
      </w:pPr>
      <w:r w:rsidRPr="00C40BD5">
        <w:rPr>
          <w:rFonts w:asciiTheme="majorEastAsia" w:eastAsiaTheme="majorEastAsia" w:hAnsiTheme="majorEastAsia" w:hint="eastAsia"/>
          <w:sz w:val="22"/>
        </w:rPr>
        <w:t>（ブラックスタート機能の提供）</w:t>
      </w:r>
    </w:p>
    <w:p w14:paraId="09A69359" w14:textId="77777777" w:rsidR="00520F46" w:rsidRPr="00C40BD5" w:rsidRDefault="00520F46" w:rsidP="00EF51B2">
      <w:pPr>
        <w:ind w:left="660" w:hangingChars="300" w:hanging="660"/>
        <w:rPr>
          <w:sz w:val="22"/>
        </w:rPr>
      </w:pPr>
      <w:r w:rsidRPr="00C40BD5">
        <w:rPr>
          <w:rFonts w:hint="eastAsia"/>
          <w:sz w:val="22"/>
        </w:rPr>
        <w:t>第１条　甲は，別紙の発電設備（以下「契約電源等」という。）を用いて，乙に対してブラックスタート機能の提供を行うものとする。</w:t>
      </w:r>
    </w:p>
    <w:p w14:paraId="566F7501" w14:textId="77777777" w:rsidR="00520F46" w:rsidRPr="00C40BD5" w:rsidRDefault="00520F46" w:rsidP="00EF51B2">
      <w:pPr>
        <w:rPr>
          <w:sz w:val="22"/>
        </w:rPr>
      </w:pPr>
      <w:r w:rsidRPr="00C40BD5">
        <w:rPr>
          <w:rFonts w:hint="eastAsia"/>
          <w:sz w:val="22"/>
        </w:rPr>
        <w:t xml:space="preserve">　　２　本契約において，ブラックスタート機能の提供とは，次のものをいう。</w:t>
      </w:r>
    </w:p>
    <w:p w14:paraId="0CE87FA2" w14:textId="77777777" w:rsidR="00520F46" w:rsidRPr="00C40BD5" w:rsidRDefault="00520F46" w:rsidP="00EF51B2">
      <w:pPr>
        <w:ind w:firstLineChars="300" w:firstLine="660"/>
        <w:rPr>
          <w:sz w:val="22"/>
        </w:rPr>
      </w:pPr>
      <w:r w:rsidRPr="00C40BD5">
        <w:rPr>
          <w:rFonts w:hint="eastAsia"/>
          <w:sz w:val="22"/>
        </w:rPr>
        <w:t>（１）全系統ブラックスタート</w:t>
      </w:r>
    </w:p>
    <w:p w14:paraId="4E751C47" w14:textId="77777777" w:rsidR="00520F46" w:rsidRPr="001C31EE" w:rsidRDefault="00520F46" w:rsidP="00EF51B2">
      <w:pPr>
        <w:ind w:leftChars="500" w:left="1050" w:firstLineChars="100" w:firstLine="220"/>
        <w:rPr>
          <w:color w:val="000000" w:themeColor="text1"/>
          <w:sz w:val="22"/>
        </w:rPr>
      </w:pPr>
      <w:r w:rsidRPr="00C40BD5">
        <w:rPr>
          <w:rFonts w:hint="eastAsia"/>
          <w:sz w:val="22"/>
        </w:rPr>
        <w:t>乙の電力系統において広範囲に及ぶ停電が発</w:t>
      </w:r>
      <w:r w:rsidRPr="001C31EE">
        <w:rPr>
          <w:rFonts w:hint="eastAsia"/>
          <w:color w:val="000000" w:themeColor="text1"/>
          <w:sz w:val="22"/>
        </w:rPr>
        <w:t>生した場合に，本契約第２条に規定する受電地点において，外部電源より発電された電気を受電することなく契約電源等の起動・発電を行い，系統の周波数と電圧を適正な範囲に維持し，復旧に必要な規模の発電所等の所内電力を供給すること。</w:t>
      </w:r>
    </w:p>
    <w:p w14:paraId="7DCAB2FF" w14:textId="77777777" w:rsidR="00520F46" w:rsidRPr="001C31EE" w:rsidRDefault="00520F46" w:rsidP="00EF51B2">
      <w:pPr>
        <w:ind w:firstLineChars="300" w:firstLine="660"/>
        <w:rPr>
          <w:color w:val="000000" w:themeColor="text1"/>
          <w:sz w:val="22"/>
        </w:rPr>
      </w:pPr>
      <w:r w:rsidRPr="001C31EE">
        <w:rPr>
          <w:rFonts w:hint="eastAsia"/>
          <w:color w:val="000000" w:themeColor="text1"/>
          <w:sz w:val="22"/>
        </w:rPr>
        <w:t>（２）一部系統ブラックスタート</w:t>
      </w:r>
    </w:p>
    <w:p w14:paraId="6441CD5B" w14:textId="366EA927" w:rsidR="00520F46" w:rsidRPr="001C31EE" w:rsidRDefault="00B70F37" w:rsidP="00EF51B2">
      <w:pPr>
        <w:ind w:leftChars="500" w:left="1050" w:firstLineChars="100" w:firstLine="220"/>
        <w:rPr>
          <w:color w:val="000000" w:themeColor="text1"/>
          <w:sz w:val="22"/>
        </w:rPr>
      </w:pPr>
      <w:r w:rsidRPr="001C31EE">
        <w:rPr>
          <w:rFonts w:hint="eastAsia"/>
          <w:color w:val="000000" w:themeColor="text1"/>
          <w:sz w:val="22"/>
        </w:rPr>
        <w:t>募集要項</w:t>
      </w:r>
      <w:r w:rsidR="00520F46" w:rsidRPr="001C31EE">
        <w:rPr>
          <w:rFonts w:hint="eastAsia"/>
          <w:color w:val="000000" w:themeColor="text1"/>
          <w:sz w:val="22"/>
        </w:rPr>
        <w:t>に定める対象系統の停電時に，本契約第２条に規定する受電地点において，外部電源より発電された電気を受電することなく契約電源等の起動・発電を行い，系統の周波数と電圧を適正な範囲に維持し，当該系統に対して需要に応じた電力供給を行うこと。</w:t>
      </w:r>
    </w:p>
    <w:p w14:paraId="4B700B7A" w14:textId="77777777" w:rsidR="00520F46" w:rsidRPr="001C31EE" w:rsidRDefault="00520F46" w:rsidP="00EF51B2">
      <w:pPr>
        <w:rPr>
          <w:color w:val="000000" w:themeColor="text1"/>
          <w:sz w:val="22"/>
        </w:rPr>
      </w:pPr>
    </w:p>
    <w:p w14:paraId="247524FC"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（受電地点および送電上の責任分界点）</w:t>
      </w:r>
    </w:p>
    <w:p w14:paraId="3D188CF9" w14:textId="77777777" w:rsidR="00520F46" w:rsidRPr="001C31EE" w:rsidRDefault="00520F46" w:rsidP="00EF51B2">
      <w:pPr>
        <w:ind w:left="706" w:hangingChars="321" w:hanging="706"/>
        <w:rPr>
          <w:color w:val="000000" w:themeColor="text1"/>
          <w:sz w:val="22"/>
        </w:rPr>
      </w:pPr>
      <w:r w:rsidRPr="001C31EE">
        <w:rPr>
          <w:rFonts w:hint="eastAsia"/>
          <w:color w:val="000000" w:themeColor="text1"/>
          <w:sz w:val="22"/>
        </w:rPr>
        <w:t xml:space="preserve">第２条　</w:t>
      </w:r>
      <w:r w:rsidRPr="001C31EE">
        <w:rPr>
          <w:rFonts w:ascii="ＭＳ 明朝" w:eastAsia="ＭＳ 明朝" w:hAnsi="ＭＳ 明朝" w:hint="eastAsia"/>
          <w:color w:val="000000" w:themeColor="text1"/>
          <w:sz w:val="22"/>
        </w:rPr>
        <w:t>受電地点および</w:t>
      </w:r>
      <w:r w:rsidRPr="001C31EE">
        <w:rPr>
          <w:rFonts w:hint="eastAsia"/>
          <w:color w:val="000000" w:themeColor="text1"/>
          <w:sz w:val="22"/>
        </w:rPr>
        <w:t>送電上の責任分界点は，別紙のとおりとする。</w:t>
      </w:r>
    </w:p>
    <w:p w14:paraId="71E4F37D" w14:textId="77777777" w:rsidR="00520F46" w:rsidRPr="001C31EE" w:rsidRDefault="00520F46" w:rsidP="00EF51B2">
      <w:pPr>
        <w:rPr>
          <w:color w:val="000000" w:themeColor="text1"/>
          <w:sz w:val="22"/>
        </w:rPr>
      </w:pPr>
    </w:p>
    <w:p w14:paraId="775DE3BD"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（財産分界点および管理補修）</w:t>
      </w:r>
    </w:p>
    <w:p w14:paraId="67F6C810" w14:textId="77777777" w:rsidR="00520F46" w:rsidRPr="001C31EE" w:rsidRDefault="00520F46" w:rsidP="00EF51B2">
      <w:pPr>
        <w:ind w:left="660" w:hangingChars="300" w:hanging="660"/>
        <w:rPr>
          <w:rFonts w:ascii="ＭＳ 明朝" w:eastAsia="ＭＳ 明朝" w:hAnsi="ＭＳ 明朝"/>
          <w:color w:val="000000" w:themeColor="text1"/>
          <w:sz w:val="22"/>
        </w:rPr>
      </w:pPr>
      <w:r w:rsidRPr="001C31EE">
        <w:rPr>
          <w:rFonts w:hint="eastAsia"/>
          <w:color w:val="000000" w:themeColor="text1"/>
          <w:sz w:val="22"/>
        </w:rPr>
        <w:t>第３条　財産分界点</w:t>
      </w:r>
      <w:r w:rsidRPr="001C31EE">
        <w:rPr>
          <w:rFonts w:ascii="ＭＳ 明朝" w:eastAsia="ＭＳ 明朝" w:hAnsi="ＭＳ 明朝" w:hint="eastAsia"/>
          <w:color w:val="000000" w:themeColor="text1"/>
          <w:sz w:val="22"/>
        </w:rPr>
        <w:t>は，別紙に定めるものとし，この分界点より契約電源等側は甲が，電力系統側については乙がそれぞれ管理補修の責任を負うものとする。ただし，財産分界点より甲側または乙側において，設備所有者が異なる場合，管理補修の責任は設備所有者が負うものとする。</w:t>
      </w:r>
    </w:p>
    <w:p w14:paraId="0165F824" w14:textId="77777777" w:rsidR="00520F46" w:rsidRPr="001C31EE" w:rsidRDefault="00520F46" w:rsidP="00EF51B2">
      <w:pPr>
        <w:ind w:left="660" w:hangingChars="300" w:hanging="660"/>
        <w:rPr>
          <w:color w:val="000000" w:themeColor="text1"/>
          <w:sz w:val="22"/>
        </w:rPr>
      </w:pPr>
    </w:p>
    <w:p w14:paraId="3FED26E3"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（所在地，送電端出力，電圧，ブラックスタート機能および電力供給を行う系統）</w:t>
      </w:r>
    </w:p>
    <w:p w14:paraId="07F9B9F2"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第４条　契約電源等の所在地，送電端出力，電圧，ブラックスタート機能およびブラックスタート機能の提供を行う対象系統は別紙のとおりとする。</w:t>
      </w:r>
    </w:p>
    <w:p w14:paraId="2C0ED801" w14:textId="77777777" w:rsidR="00B70F37" w:rsidRPr="001C31EE" w:rsidRDefault="00B70F37" w:rsidP="00EF51B2">
      <w:pPr>
        <w:ind w:left="660" w:hangingChars="300" w:hanging="660"/>
        <w:rPr>
          <w:color w:val="000000" w:themeColor="text1"/>
          <w:sz w:val="22"/>
        </w:rPr>
      </w:pPr>
    </w:p>
    <w:p w14:paraId="125F31F0"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（設備要件）</w:t>
      </w:r>
    </w:p>
    <w:p w14:paraId="690B806D" w14:textId="4E5C1150" w:rsidR="00520F46" w:rsidRPr="001C31EE" w:rsidRDefault="00520F46" w:rsidP="00EF51B2">
      <w:pPr>
        <w:ind w:left="708" w:hangingChars="322" w:hanging="708"/>
        <w:rPr>
          <w:color w:val="000000" w:themeColor="text1"/>
          <w:sz w:val="22"/>
        </w:rPr>
      </w:pPr>
      <w:r w:rsidRPr="001C31EE">
        <w:rPr>
          <w:rFonts w:hint="eastAsia"/>
          <w:color w:val="000000" w:themeColor="text1"/>
          <w:sz w:val="22"/>
        </w:rPr>
        <w:t>第５条　甲は，契約電源等について，</w:t>
      </w:r>
      <w:r w:rsidR="00B70F37" w:rsidRPr="001C31EE">
        <w:rPr>
          <w:rFonts w:hint="eastAsia"/>
          <w:color w:val="000000" w:themeColor="text1"/>
          <w:sz w:val="22"/>
        </w:rPr>
        <w:t>募集要項</w:t>
      </w:r>
      <w:r w:rsidRPr="001C31EE">
        <w:rPr>
          <w:rFonts w:hint="eastAsia"/>
          <w:color w:val="000000" w:themeColor="text1"/>
          <w:sz w:val="22"/>
        </w:rPr>
        <w:t>に定める「契約電源等の機能」を満たすものとする。</w:t>
      </w:r>
    </w:p>
    <w:p w14:paraId="794AD74C" w14:textId="77777777" w:rsidR="00520F46" w:rsidRPr="001C31EE" w:rsidRDefault="00520F46" w:rsidP="00EF51B2">
      <w:pPr>
        <w:rPr>
          <w:color w:val="000000" w:themeColor="text1"/>
          <w:sz w:val="22"/>
        </w:rPr>
      </w:pPr>
    </w:p>
    <w:p w14:paraId="4732688F"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（運用要件）</w:t>
      </w:r>
    </w:p>
    <w:p w14:paraId="73E209CB"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第６条　甲は，契約電源等について次の各号の運用要件を満たし，法令遵守または公衆安全確保等のやむを得ない事由がある場合を除き，乙の指令に従いブラックスタート機能を提供するものとする。</w:t>
      </w:r>
    </w:p>
    <w:p w14:paraId="419E9467" w14:textId="7C7A4EC6" w:rsidR="00520F46" w:rsidRPr="001C31EE" w:rsidRDefault="00520F46" w:rsidP="00190334">
      <w:pPr>
        <w:ind w:leftChars="300" w:left="1070" w:hangingChars="200" w:hanging="440"/>
        <w:rPr>
          <w:color w:val="000000" w:themeColor="text1"/>
          <w:sz w:val="22"/>
        </w:rPr>
      </w:pPr>
      <w:r w:rsidRPr="001C31EE">
        <w:rPr>
          <w:rFonts w:hint="eastAsia"/>
          <w:color w:val="000000" w:themeColor="text1"/>
          <w:sz w:val="22"/>
        </w:rPr>
        <w:t>（１）甲は，次条にもとづきあらかじめ定める補修停止等の期間を除き，常時，ブラックスタート機能を提供可能な状態に維持すること。ただし，乙は，需給ひっ迫時に，ブラックスタート必要電力量</w:t>
      </w:r>
      <w:r w:rsidRPr="001C31EE">
        <w:rPr>
          <w:rFonts w:hint="eastAsia"/>
          <w:color w:val="000000" w:themeColor="text1"/>
          <w:sz w:val="22"/>
        </w:rPr>
        <w:t>(</w:t>
      </w:r>
      <w:r w:rsidRPr="001C31EE">
        <w:rPr>
          <w:rFonts w:hint="eastAsia"/>
          <w:color w:val="000000" w:themeColor="text1"/>
          <w:sz w:val="22"/>
        </w:rPr>
        <w:t>ｋＷｈ</w:t>
      </w:r>
      <w:r w:rsidRPr="001C31EE">
        <w:rPr>
          <w:rFonts w:hint="eastAsia"/>
          <w:color w:val="000000" w:themeColor="text1"/>
          <w:sz w:val="22"/>
        </w:rPr>
        <w:t>)</w:t>
      </w:r>
      <w:r w:rsidRPr="001C31EE">
        <w:rPr>
          <w:rFonts w:hint="eastAsia"/>
          <w:color w:val="000000" w:themeColor="text1"/>
          <w:sz w:val="22"/>
        </w:rPr>
        <w:t>の一部を緊急時の一般送配電事業者の運用として使用する場合がある。</w:t>
      </w:r>
      <w:r w:rsidR="00190334" w:rsidRPr="001C31EE">
        <w:rPr>
          <w:rFonts w:hint="eastAsia"/>
          <w:color w:val="000000" w:themeColor="text1"/>
          <w:sz w:val="22"/>
        </w:rPr>
        <w:t>なお，運用上必要な必要電力（ｋＷ）</w:t>
      </w:r>
      <w:r w:rsidR="009735AD" w:rsidRPr="001C31EE">
        <w:rPr>
          <w:rFonts w:hint="eastAsia"/>
          <w:color w:val="000000" w:themeColor="text1"/>
          <w:sz w:val="22"/>
        </w:rPr>
        <w:t>・</w:t>
      </w:r>
      <w:r w:rsidR="00190334" w:rsidRPr="001C31EE">
        <w:rPr>
          <w:rFonts w:hint="eastAsia"/>
          <w:color w:val="000000" w:themeColor="text1"/>
          <w:sz w:val="22"/>
        </w:rPr>
        <w:t>必要電力量（ｋＷｈ）に関しては，別途，甲乙間で覚書等を締結する</w:t>
      </w:r>
      <w:r w:rsidRPr="001C31EE">
        <w:rPr>
          <w:rFonts w:hint="eastAsia"/>
          <w:color w:val="000000" w:themeColor="text1"/>
          <w:sz w:val="22"/>
        </w:rPr>
        <w:t>。</w:t>
      </w:r>
    </w:p>
    <w:p w14:paraId="7BAFFD5E" w14:textId="77777777" w:rsidR="00520F46" w:rsidRPr="001C31EE" w:rsidRDefault="00520F46" w:rsidP="003D3101">
      <w:pPr>
        <w:ind w:leftChars="300" w:left="1070" w:hangingChars="200" w:hanging="440"/>
        <w:rPr>
          <w:color w:val="000000" w:themeColor="text1"/>
          <w:sz w:val="22"/>
        </w:rPr>
      </w:pPr>
      <w:r w:rsidRPr="001C31EE">
        <w:rPr>
          <w:rFonts w:hint="eastAsia"/>
          <w:color w:val="000000" w:themeColor="text1"/>
          <w:sz w:val="22"/>
        </w:rPr>
        <w:t>（２）甲は，ブラックスタート機能等に不具合が生じた場合，速やかに乙に連絡のうえ，　遅滞なく復旧できるよう努めること。</w:t>
      </w:r>
    </w:p>
    <w:p w14:paraId="29980A11" w14:textId="77777777" w:rsidR="00520F46" w:rsidRPr="001C31EE" w:rsidRDefault="00520F46" w:rsidP="003D3101">
      <w:pPr>
        <w:ind w:leftChars="300" w:left="1070" w:hangingChars="200" w:hanging="440"/>
        <w:rPr>
          <w:color w:val="000000" w:themeColor="text1"/>
          <w:sz w:val="22"/>
        </w:rPr>
      </w:pPr>
      <w:r w:rsidRPr="001C31EE">
        <w:rPr>
          <w:rFonts w:hint="eastAsia"/>
          <w:color w:val="000000" w:themeColor="text1"/>
          <w:sz w:val="22"/>
        </w:rPr>
        <w:t>（３）甲は，ブラックスタート機能等の不具合が解消した場合，速やかに乙に連絡すること。</w:t>
      </w:r>
    </w:p>
    <w:p w14:paraId="48C6FF06" w14:textId="77777777" w:rsidR="00520F46" w:rsidRPr="001C31EE" w:rsidRDefault="00520F46" w:rsidP="003D3101">
      <w:pPr>
        <w:ind w:leftChars="300" w:left="1070" w:hangingChars="200" w:hanging="440"/>
        <w:rPr>
          <w:color w:val="000000" w:themeColor="text1"/>
          <w:sz w:val="22"/>
        </w:rPr>
      </w:pPr>
      <w:r w:rsidRPr="001C31EE">
        <w:rPr>
          <w:rFonts w:hint="eastAsia"/>
          <w:color w:val="000000" w:themeColor="text1"/>
          <w:sz w:val="22"/>
        </w:rPr>
        <w:t>（４）甲は，乙が指定する電力供給に係る訓練に参加すること。</w:t>
      </w:r>
    </w:p>
    <w:p w14:paraId="153262A6" w14:textId="77777777" w:rsidR="00520F46" w:rsidRPr="001C31EE" w:rsidRDefault="00520F46" w:rsidP="00EF51B2">
      <w:pPr>
        <w:rPr>
          <w:color w:val="000000" w:themeColor="text1"/>
          <w:sz w:val="22"/>
        </w:rPr>
      </w:pPr>
    </w:p>
    <w:p w14:paraId="48FF2922"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（停止計画）</w:t>
      </w:r>
    </w:p>
    <w:p w14:paraId="7FD9EB58"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第７条　甲は乙が定める期日までに，乙に対して本契約第１５条に定めるブラックスタート機能の提供期間（以下「提供期間」という。）におけるブラックスタート機能の停止計画の案を提出し，乙との協議により停止計画を決定するものとする。</w:t>
      </w:r>
    </w:p>
    <w:p w14:paraId="662681AF"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甲は，前項の停止計画の案の策定および乙との協議にあたっては，次の各号の事項を遵守するものとする。</w:t>
      </w:r>
    </w:p>
    <w:p w14:paraId="6E49F402" w14:textId="77777777" w:rsidR="00520F46" w:rsidRPr="001C31EE" w:rsidRDefault="00520F46" w:rsidP="00EF51B2">
      <w:pPr>
        <w:ind w:leftChars="300" w:left="1070" w:hangingChars="200" w:hanging="440"/>
        <w:rPr>
          <w:color w:val="000000" w:themeColor="text1"/>
          <w:sz w:val="22"/>
        </w:rPr>
      </w:pPr>
      <w:r w:rsidRPr="001C31EE">
        <w:rPr>
          <w:rFonts w:hint="eastAsia"/>
          <w:color w:val="000000" w:themeColor="text1"/>
          <w:sz w:val="22"/>
        </w:rPr>
        <w:t>（１）停止時期は，法令上可能な限り検査時期の間隔をあける等，作業停止期間短縮に努めること。</w:t>
      </w:r>
    </w:p>
    <w:p w14:paraId="2622DDF9" w14:textId="77777777" w:rsidR="00520F46" w:rsidRPr="001C31EE" w:rsidRDefault="00520F46" w:rsidP="00EF51B2">
      <w:pPr>
        <w:ind w:leftChars="300" w:left="1070" w:hangingChars="200" w:hanging="440"/>
        <w:rPr>
          <w:color w:val="000000" w:themeColor="text1"/>
          <w:sz w:val="22"/>
        </w:rPr>
      </w:pPr>
      <w:r w:rsidRPr="001C31EE">
        <w:rPr>
          <w:rFonts w:hint="eastAsia"/>
          <w:color w:val="000000" w:themeColor="text1"/>
          <w:sz w:val="22"/>
        </w:rPr>
        <w:t>（２）甲は，乙が停止時期の変更を希望した場合，特別な事情がない限りこれに応じること。</w:t>
      </w:r>
    </w:p>
    <w:p w14:paraId="22AA6D01" w14:textId="77777777" w:rsidR="00520F46" w:rsidRPr="001C31EE" w:rsidRDefault="00520F46" w:rsidP="00EF51B2">
      <w:pPr>
        <w:rPr>
          <w:color w:val="000000" w:themeColor="text1"/>
          <w:sz w:val="22"/>
        </w:rPr>
      </w:pPr>
    </w:p>
    <w:p w14:paraId="7F248724"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（計量）</w:t>
      </w:r>
    </w:p>
    <w:p w14:paraId="376170BB"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第８条　契約電源等から受電する電力量（以下「実績電力量」という。）は，原則として契約電源等ごとに取付けた記録型計量器により３０分単位で計量するものとする。ただし，契約電源等ごとに計量することができない場合の実績電力量は，別途甲乙の協議により定めるものとする。</w:t>
      </w:r>
    </w:p>
    <w:p w14:paraId="302E8B21"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計量器の故障等により，電力量を正しく計量できない場合は，その都度甲乙協議のうえ，別途電力量を決定するものとする。</w:t>
      </w:r>
    </w:p>
    <w:p w14:paraId="049C38A0" w14:textId="77777777" w:rsidR="00520F46" w:rsidRPr="001C31EE" w:rsidRDefault="00520F46" w:rsidP="00EF51B2">
      <w:pPr>
        <w:ind w:leftChars="200" w:left="640" w:hangingChars="100" w:hanging="220"/>
        <w:rPr>
          <w:color w:val="000000" w:themeColor="text1"/>
          <w:sz w:val="22"/>
        </w:rPr>
      </w:pPr>
    </w:p>
    <w:p w14:paraId="231F4DE6"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（計量器等の取付け）</w:t>
      </w:r>
    </w:p>
    <w:p w14:paraId="02FC309F" w14:textId="5B2A4DE5"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第９条　料金の算定上必要な記録型計量器，その付属装置（計量器箱，変成器，変成器の２次配線等をいう。）および区分装置（力率測定時間を区分する装置等をいう。）は，原則として，乙が選定し，かつ，乙の所有とし，乙が取り付けるものとする。また，乙は，その工事費の全額を工事費負担金として甲から申し受けるものとする。ただし，</w:t>
      </w:r>
      <w:r w:rsidRPr="001C31EE">
        <w:rPr>
          <w:rFonts w:hint="eastAsia"/>
          <w:color w:val="000000" w:themeColor="text1"/>
          <w:sz w:val="22"/>
        </w:rPr>
        <w:lastRenderedPageBreak/>
        <w:t>２０２</w:t>
      </w:r>
      <w:r w:rsidR="00B70F37" w:rsidRPr="001C31EE">
        <w:rPr>
          <w:rFonts w:hint="eastAsia"/>
          <w:color w:val="000000" w:themeColor="text1"/>
          <w:sz w:val="22"/>
        </w:rPr>
        <w:t>４</w:t>
      </w:r>
      <w:r w:rsidRPr="001C31EE">
        <w:rPr>
          <w:rFonts w:hint="eastAsia"/>
          <w:color w:val="000000" w:themeColor="text1"/>
          <w:sz w:val="22"/>
        </w:rPr>
        <w:t>年</w:t>
      </w:r>
      <w:r w:rsidR="00541DF1" w:rsidRPr="001C31EE">
        <w:rPr>
          <w:rFonts w:hint="eastAsia"/>
          <w:color w:val="000000" w:themeColor="text1"/>
          <w:sz w:val="22"/>
        </w:rPr>
        <w:t>１０</w:t>
      </w:r>
      <w:r w:rsidRPr="001C31EE">
        <w:rPr>
          <w:rFonts w:hint="eastAsia"/>
          <w:color w:val="000000" w:themeColor="text1"/>
          <w:sz w:val="22"/>
        </w:rPr>
        <w:t>月１日実施の乙の託送供給等約款６６（計量器等の取付け）にもとづき（乙が託送供給等約款を変更した場合には，変更後の託送供給等約款の該当条項による。以下同じ。）取り付ける発電量調整受電電力量の計量に必要な計量器等で料金の算定が可能な場合は，本契約にもとづき，あらためて計量器等を取り付けることはしないものとする。</w:t>
      </w:r>
    </w:p>
    <w:p w14:paraId="1FE202DB"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法令等により，本契約にもとづき取り付けた計量器およびその付属装置および区分装置を取り替える場合は，甲は実費を乙に支払うものとする。</w:t>
      </w:r>
    </w:p>
    <w:p w14:paraId="3C943CCA" w14:textId="77777777" w:rsidR="00520F46" w:rsidRPr="001C31EE" w:rsidRDefault="00520F46" w:rsidP="00EF51B2">
      <w:pPr>
        <w:rPr>
          <w:color w:val="000000" w:themeColor="text1"/>
          <w:sz w:val="22"/>
        </w:rPr>
      </w:pPr>
    </w:p>
    <w:p w14:paraId="1DECE8D4"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（通信設備等の施設）</w:t>
      </w:r>
    </w:p>
    <w:p w14:paraId="24ACBF85"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第１０条　契約電源等に対する乙の指令の受信および契約電源等の現在出力等の乙への伝送等に必要な通信設備および伝送装置等を以下の区分で施設するものとする。</w:t>
      </w:r>
    </w:p>
    <w:p w14:paraId="123C1521" w14:textId="77777777" w:rsidR="00520F46" w:rsidRPr="001C31EE" w:rsidRDefault="00520F46" w:rsidP="00EF51B2">
      <w:pPr>
        <w:ind w:firstLineChars="300" w:firstLine="660"/>
        <w:rPr>
          <w:color w:val="000000" w:themeColor="text1"/>
          <w:sz w:val="22"/>
        </w:rPr>
      </w:pPr>
      <w:r w:rsidRPr="001C31EE">
        <w:rPr>
          <w:rFonts w:hint="eastAsia"/>
          <w:color w:val="000000" w:themeColor="text1"/>
          <w:sz w:val="22"/>
        </w:rPr>
        <w:t>（１）発電所等構内の通信装置，出力制御装置等</w:t>
      </w:r>
    </w:p>
    <w:p w14:paraId="2603553A" w14:textId="77777777" w:rsidR="00520F46" w:rsidRPr="001C31EE" w:rsidRDefault="00520F46" w:rsidP="00EF51B2">
      <w:pPr>
        <w:ind w:leftChars="500" w:left="1050" w:firstLineChars="100" w:firstLine="220"/>
        <w:rPr>
          <w:color w:val="000000" w:themeColor="text1"/>
          <w:sz w:val="22"/>
        </w:rPr>
      </w:pPr>
      <w:r w:rsidRPr="001C31EE">
        <w:rPr>
          <w:rFonts w:hint="eastAsia"/>
          <w:color w:val="000000" w:themeColor="text1"/>
          <w:sz w:val="22"/>
        </w:rPr>
        <w:t>甲が選定し，かつ，甲の所有とし，甲が取り付けるものとする。また，その工事に要した費用は甲が負担するものとする。</w:t>
      </w:r>
    </w:p>
    <w:p w14:paraId="68E95B6C" w14:textId="77777777" w:rsidR="00520F46" w:rsidRPr="001C31EE" w:rsidRDefault="00520F46" w:rsidP="00EF51B2">
      <w:pPr>
        <w:ind w:firstLineChars="300" w:firstLine="660"/>
        <w:rPr>
          <w:color w:val="000000" w:themeColor="text1"/>
          <w:sz w:val="22"/>
        </w:rPr>
      </w:pPr>
      <w:r w:rsidRPr="001C31EE">
        <w:rPr>
          <w:rFonts w:hint="eastAsia"/>
          <w:color w:val="000000" w:themeColor="text1"/>
          <w:sz w:val="22"/>
        </w:rPr>
        <w:t>（２）発電所等から最寄りの変電所，通信事業所等までの間の通信線等</w:t>
      </w:r>
    </w:p>
    <w:p w14:paraId="5B6537C4" w14:textId="77777777" w:rsidR="00520F46" w:rsidRPr="001C31EE" w:rsidRDefault="00520F46" w:rsidP="00EF51B2">
      <w:pPr>
        <w:ind w:leftChars="500" w:left="1050" w:firstLineChars="100" w:firstLine="220"/>
        <w:rPr>
          <w:color w:val="000000" w:themeColor="text1"/>
          <w:sz w:val="22"/>
        </w:rPr>
      </w:pPr>
      <w:r w:rsidRPr="001C31EE">
        <w:rPr>
          <w:rFonts w:hint="eastAsia"/>
          <w:color w:val="000000" w:themeColor="text1"/>
          <w:sz w:val="22"/>
        </w:rPr>
        <w:t>乙が選定し，かつ，乙の所有とし，乙が取り付けるものとする。また，その工事に要した費用は甲が負担するものとする。</w:t>
      </w:r>
    </w:p>
    <w:p w14:paraId="55194BDE" w14:textId="77777777" w:rsidR="00520F46" w:rsidRPr="001C31EE" w:rsidRDefault="00520F46" w:rsidP="00EF51B2">
      <w:pPr>
        <w:ind w:firstLineChars="300" w:firstLine="660"/>
        <w:rPr>
          <w:color w:val="000000" w:themeColor="text1"/>
          <w:sz w:val="22"/>
        </w:rPr>
      </w:pPr>
      <w:r w:rsidRPr="001C31EE">
        <w:rPr>
          <w:rFonts w:hint="eastAsia"/>
          <w:color w:val="000000" w:themeColor="text1"/>
          <w:sz w:val="22"/>
        </w:rPr>
        <w:t>（３）本条（１）および（２）以外の通信線等</w:t>
      </w:r>
    </w:p>
    <w:p w14:paraId="4680728B" w14:textId="77777777" w:rsidR="00520F46" w:rsidRPr="001C31EE" w:rsidRDefault="00520F46" w:rsidP="00EF51B2">
      <w:pPr>
        <w:ind w:leftChars="500" w:left="1050" w:firstLineChars="100" w:firstLine="220"/>
        <w:rPr>
          <w:color w:val="000000" w:themeColor="text1"/>
          <w:sz w:val="22"/>
        </w:rPr>
      </w:pPr>
      <w:r w:rsidRPr="001C31EE">
        <w:rPr>
          <w:rFonts w:hint="eastAsia"/>
          <w:color w:val="000000" w:themeColor="text1"/>
          <w:sz w:val="22"/>
        </w:rPr>
        <w:t>乙が選定し，かつ，乙の所有とし，乙が取り付けるものとする。また，その工事に要した費用は乙が負担するものとする。ただし，保安通信電話や転送遮断装置等，発電機連系に必要な装置の情報伝送において，伝送路を専有している場合はこの限りでない。</w:t>
      </w:r>
    </w:p>
    <w:p w14:paraId="48B711BE" w14:textId="77777777" w:rsidR="00520F46" w:rsidRPr="001C31EE" w:rsidRDefault="00520F46" w:rsidP="00EF51B2">
      <w:pPr>
        <w:rPr>
          <w:color w:val="000000" w:themeColor="text1"/>
          <w:sz w:val="22"/>
        </w:rPr>
      </w:pPr>
    </w:p>
    <w:p w14:paraId="3230784C"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（料金）</w:t>
      </w:r>
    </w:p>
    <w:p w14:paraId="0883C006"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第１１条　乙は，ブラックスタート機能の提供に係る料金として，本契約第１２条に定める月間料金および本契約第１３条に定める従量料金を甲に支払うものとする。</w:t>
      </w:r>
    </w:p>
    <w:p w14:paraId="416A5370"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ブラックスタート機能の提供に係る料金の算定期間（以下「料金算定期間」という。）は，毎月１日から当該月末日までとする。</w:t>
      </w:r>
    </w:p>
    <w:p w14:paraId="270FBE70" w14:textId="77777777" w:rsidR="00520F46" w:rsidRPr="001C31EE" w:rsidRDefault="00520F46" w:rsidP="00EF51B2">
      <w:pPr>
        <w:rPr>
          <w:color w:val="000000" w:themeColor="text1"/>
          <w:sz w:val="22"/>
        </w:rPr>
      </w:pPr>
    </w:p>
    <w:p w14:paraId="2209A4DB"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（基本料金および月間料金）</w:t>
      </w:r>
    </w:p>
    <w:p w14:paraId="67063B0D" w14:textId="1C7C1D67" w:rsidR="00520F46" w:rsidRPr="001C31EE" w:rsidRDefault="00520F46" w:rsidP="00EF51B2">
      <w:pPr>
        <w:spacing w:afterLines="50" w:after="180"/>
        <w:ind w:left="660" w:hangingChars="300" w:hanging="660"/>
        <w:rPr>
          <w:color w:val="000000" w:themeColor="text1"/>
          <w:sz w:val="22"/>
        </w:rPr>
      </w:pPr>
      <w:r w:rsidRPr="001C31EE">
        <w:rPr>
          <w:rFonts w:hint="eastAsia"/>
          <w:color w:val="000000" w:themeColor="text1"/>
          <w:sz w:val="22"/>
        </w:rPr>
        <w:t>第１２条　ブラックスタート機能の提供に係る基本料金は，２０２</w:t>
      </w:r>
      <w:r w:rsidR="009735AD" w:rsidRPr="001C31EE">
        <w:rPr>
          <w:rFonts w:hint="eastAsia"/>
          <w:color w:val="000000" w:themeColor="text1"/>
          <w:sz w:val="22"/>
        </w:rPr>
        <w:t>９</w:t>
      </w:r>
      <w:r w:rsidRPr="001C31EE">
        <w:rPr>
          <w:rFonts w:hint="eastAsia"/>
          <w:color w:val="000000" w:themeColor="text1"/>
          <w:sz w:val="22"/>
        </w:rPr>
        <w:t>年度が実需給年度となる容量市場の約定価格</w:t>
      </w:r>
      <w:r w:rsidRPr="001C31EE">
        <w:rPr>
          <w:rFonts w:hint="eastAsia"/>
          <w:color w:val="000000" w:themeColor="text1"/>
          <w:sz w:val="22"/>
        </w:rPr>
        <w:t>(</w:t>
      </w:r>
      <w:r w:rsidRPr="001C31EE">
        <w:rPr>
          <w:rFonts w:hint="eastAsia"/>
          <w:color w:val="000000" w:themeColor="text1"/>
          <w:sz w:val="22"/>
        </w:rPr>
        <w:t>円</w:t>
      </w:r>
      <w:r w:rsidRPr="001C31EE">
        <w:rPr>
          <w:rFonts w:hint="eastAsia"/>
          <w:color w:val="000000" w:themeColor="text1"/>
          <w:sz w:val="22"/>
        </w:rPr>
        <w:t>/kW</w:t>
      </w:r>
      <w:r w:rsidRPr="001C31EE">
        <w:rPr>
          <w:rFonts w:hint="eastAsia"/>
          <w:color w:val="000000" w:themeColor="text1"/>
          <w:sz w:val="22"/>
        </w:rPr>
        <w:t>）が確定した後に，契約電源等ごとに以下の</w:t>
      </w:r>
      <w:r w:rsidR="009735AD" w:rsidRPr="001C31EE">
        <w:rPr>
          <w:rFonts w:hint="eastAsia"/>
          <w:color w:val="000000" w:themeColor="text1"/>
          <w:sz w:val="22"/>
        </w:rPr>
        <w:t>とおり算定するものとする</w:t>
      </w:r>
      <w:r w:rsidRPr="001C31EE">
        <w:rPr>
          <w:rFonts w:hint="eastAsia"/>
          <w:color w:val="000000" w:themeColor="text1"/>
          <w:sz w:val="22"/>
        </w:rPr>
        <w:t>。なお，容量市場から支払われる対価相当金額は，２０２</w:t>
      </w:r>
      <w:r w:rsidR="009735AD" w:rsidRPr="001C31EE">
        <w:rPr>
          <w:rFonts w:hint="eastAsia"/>
          <w:color w:val="000000" w:themeColor="text1"/>
          <w:sz w:val="22"/>
        </w:rPr>
        <w:t>９</w:t>
      </w:r>
      <w:r w:rsidRPr="001C31EE">
        <w:rPr>
          <w:rFonts w:hint="eastAsia"/>
          <w:color w:val="000000" w:themeColor="text1"/>
          <w:sz w:val="22"/>
        </w:rPr>
        <w:t>年度向け容量市場の応札有無および落札有無を問わず控除するものとする。</w:t>
      </w:r>
    </w:p>
    <w:p w14:paraId="76B81E8B" w14:textId="0F1BF542" w:rsidR="00997B30" w:rsidRPr="00997B30" w:rsidRDefault="009735AD" w:rsidP="00997B30">
      <w:pPr>
        <w:ind w:leftChars="440" w:left="2015" w:hangingChars="496" w:hanging="1091"/>
        <w:rPr>
          <w:color w:val="000000" w:themeColor="text1"/>
          <w:sz w:val="22"/>
        </w:rPr>
      </w:pPr>
      <w:r w:rsidRPr="001C31EE">
        <w:rPr>
          <w:rFonts w:hint="eastAsia"/>
          <w:color w:val="000000" w:themeColor="text1"/>
          <w:sz w:val="22"/>
        </w:rPr>
        <w:t>基本料金＝</w:t>
      </w:r>
      <w:r w:rsidR="00997B30" w:rsidRPr="00997B30">
        <w:rPr>
          <w:rFonts w:hint="eastAsia"/>
          <w:color w:val="000000" w:themeColor="text1"/>
          <w:sz w:val="22"/>
        </w:rPr>
        <w:t>契約電源等を維持するために要する年間費用</w:t>
      </w:r>
      <w:r w:rsidR="00997B30" w:rsidRPr="00997B30">
        <w:rPr>
          <w:rFonts w:hint="eastAsia"/>
          <w:color w:val="000000" w:themeColor="text1"/>
          <w:sz w:val="22"/>
        </w:rPr>
        <w:t xml:space="preserve"> </w:t>
      </w:r>
      <w:r w:rsidR="00997B30" w:rsidRPr="00997B30">
        <w:rPr>
          <w:rFonts w:hint="eastAsia"/>
          <w:color w:val="000000" w:themeColor="text1"/>
          <w:sz w:val="22"/>
        </w:rPr>
        <w:t>－（期待利潤</w:t>
      </w:r>
      <w:r w:rsidR="00997B30" w:rsidRPr="00997B30">
        <w:rPr>
          <w:rFonts w:hint="eastAsia"/>
          <w:color w:val="000000" w:themeColor="text1"/>
          <w:sz w:val="22"/>
        </w:rPr>
        <w:t xml:space="preserve"> </w:t>
      </w:r>
      <w:r w:rsidR="00997B30" w:rsidRPr="00997B30">
        <w:rPr>
          <w:rFonts w:hint="eastAsia"/>
          <w:color w:val="000000" w:themeColor="text1"/>
          <w:sz w:val="22"/>
        </w:rPr>
        <w:t>－</w:t>
      </w:r>
      <w:r w:rsidR="00997B30" w:rsidRPr="00997B30">
        <w:rPr>
          <w:rFonts w:hint="eastAsia"/>
          <w:color w:val="000000" w:themeColor="text1"/>
          <w:sz w:val="22"/>
        </w:rPr>
        <w:t xml:space="preserve"> </w:t>
      </w:r>
      <w:r w:rsidR="00997B30" w:rsidRPr="00997B30">
        <w:rPr>
          <w:rFonts w:hint="eastAsia"/>
          <w:color w:val="000000" w:themeColor="text1"/>
          <w:sz w:val="22"/>
        </w:rPr>
        <w:t>期待利潤の減少分）</w:t>
      </w:r>
      <w:r w:rsidR="00997B30" w:rsidRPr="001C31EE">
        <w:rPr>
          <w:rFonts w:hint="eastAsia"/>
          <w:color w:val="000000" w:themeColor="text1"/>
          <w:sz w:val="22"/>
          <w:vertAlign w:val="superscript"/>
        </w:rPr>
        <w:t>※</w:t>
      </w:r>
      <w:r w:rsidR="00997B30">
        <w:rPr>
          <w:rFonts w:hint="eastAsia"/>
          <w:color w:val="000000" w:themeColor="text1"/>
          <w:sz w:val="22"/>
          <w:vertAlign w:val="superscript"/>
        </w:rPr>
        <w:t>１</w:t>
      </w:r>
      <w:r w:rsidR="00997B30" w:rsidRPr="00997B30">
        <w:rPr>
          <w:rFonts w:hint="eastAsia"/>
          <w:color w:val="000000" w:themeColor="text1"/>
          <w:sz w:val="22"/>
        </w:rPr>
        <w:t>－（容量市場から支払われる対価相当金額</w:t>
      </w:r>
      <w:r w:rsidR="00997B30" w:rsidRPr="001C31EE">
        <w:rPr>
          <w:rFonts w:hint="eastAsia"/>
          <w:color w:val="000000" w:themeColor="text1"/>
          <w:sz w:val="22"/>
          <w:vertAlign w:val="superscript"/>
        </w:rPr>
        <w:t>※</w:t>
      </w:r>
      <w:r w:rsidR="00997B30">
        <w:rPr>
          <w:rFonts w:hint="eastAsia"/>
          <w:color w:val="000000" w:themeColor="text1"/>
          <w:sz w:val="22"/>
          <w:vertAlign w:val="superscript"/>
        </w:rPr>
        <w:t>２，</w:t>
      </w:r>
      <w:r w:rsidR="00997B30" w:rsidRPr="001C31EE">
        <w:rPr>
          <w:rFonts w:hint="eastAsia"/>
          <w:color w:val="000000" w:themeColor="text1"/>
          <w:sz w:val="22"/>
          <w:vertAlign w:val="superscript"/>
        </w:rPr>
        <w:t>３</w:t>
      </w:r>
    </w:p>
    <w:p w14:paraId="52A0976E" w14:textId="1078A63F" w:rsidR="009735AD" w:rsidRPr="00997B30" w:rsidRDefault="00997B30" w:rsidP="00997B30">
      <w:pPr>
        <w:ind w:leftChars="544" w:left="1142" w:firstLineChars="415" w:firstLine="913"/>
        <w:rPr>
          <w:color w:val="000000" w:themeColor="text1"/>
          <w:sz w:val="22"/>
        </w:rPr>
      </w:pPr>
      <w:r w:rsidRPr="00997B30">
        <w:rPr>
          <w:rFonts w:hint="eastAsia"/>
          <w:color w:val="000000" w:themeColor="text1"/>
          <w:sz w:val="22"/>
        </w:rPr>
        <w:t>－容量市場から支払われる対価相当額の減少分）</w:t>
      </w:r>
    </w:p>
    <w:p w14:paraId="75DE457A" w14:textId="77777777" w:rsidR="009735AD" w:rsidRPr="001C31EE" w:rsidRDefault="009735AD" w:rsidP="009735AD">
      <w:pPr>
        <w:ind w:leftChars="440" w:left="1144" w:hangingChars="100" w:hanging="220"/>
        <w:rPr>
          <w:color w:val="000000" w:themeColor="text1"/>
          <w:sz w:val="22"/>
        </w:rPr>
      </w:pPr>
      <w:r w:rsidRPr="001C31EE">
        <w:rPr>
          <w:rFonts w:hint="eastAsia"/>
          <w:color w:val="000000" w:themeColor="text1"/>
          <w:sz w:val="22"/>
        </w:rPr>
        <w:t>容量市場から支払われる対価相当金額</w:t>
      </w:r>
    </w:p>
    <w:p w14:paraId="6B1C5673" w14:textId="09ACCABD" w:rsidR="009735AD" w:rsidRPr="001C31EE" w:rsidRDefault="009735AD" w:rsidP="009735AD">
      <w:pPr>
        <w:spacing w:afterLines="50" w:after="180"/>
        <w:ind w:leftChars="440" w:left="1144" w:hangingChars="100" w:hanging="220"/>
        <w:rPr>
          <w:color w:val="000000" w:themeColor="text1"/>
          <w:sz w:val="22"/>
        </w:rPr>
      </w:pPr>
      <w:r w:rsidRPr="001C31EE">
        <w:rPr>
          <w:rFonts w:hint="eastAsia"/>
          <w:color w:val="000000" w:themeColor="text1"/>
          <w:sz w:val="22"/>
        </w:rPr>
        <w:t>＝　期待容量</w:t>
      </w:r>
      <w:r w:rsidRPr="001C31EE">
        <w:rPr>
          <w:rFonts w:hint="eastAsia"/>
          <w:color w:val="000000" w:themeColor="text1"/>
          <w:sz w:val="22"/>
          <w:vertAlign w:val="superscript"/>
        </w:rPr>
        <w:t>※</w:t>
      </w:r>
      <w:r w:rsidR="00997B30">
        <w:rPr>
          <w:rFonts w:hint="eastAsia"/>
          <w:color w:val="000000" w:themeColor="text1"/>
          <w:sz w:val="22"/>
          <w:vertAlign w:val="superscript"/>
        </w:rPr>
        <w:t>４</w:t>
      </w:r>
      <w:r w:rsidRPr="001C31EE">
        <w:rPr>
          <w:rFonts w:hint="eastAsia"/>
          <w:color w:val="000000" w:themeColor="text1"/>
          <w:sz w:val="22"/>
        </w:rPr>
        <w:t xml:space="preserve">　×　約定価格</w:t>
      </w:r>
      <w:r w:rsidRPr="001C31EE">
        <w:rPr>
          <w:rFonts w:hint="eastAsia"/>
          <w:color w:val="000000" w:themeColor="text1"/>
          <w:sz w:val="22"/>
          <w:vertAlign w:val="superscript"/>
        </w:rPr>
        <w:t>※</w:t>
      </w:r>
      <w:r w:rsidR="00997B30">
        <w:rPr>
          <w:rFonts w:hint="eastAsia"/>
          <w:color w:val="000000" w:themeColor="text1"/>
          <w:sz w:val="22"/>
          <w:vertAlign w:val="superscript"/>
        </w:rPr>
        <w:t>５</w:t>
      </w:r>
    </w:p>
    <w:p w14:paraId="392D60CE" w14:textId="77777777" w:rsidR="009735AD" w:rsidRPr="001C31EE" w:rsidRDefault="009735AD" w:rsidP="009735AD">
      <w:pPr>
        <w:ind w:leftChars="290" w:left="609" w:firstLineChars="89" w:firstLine="196"/>
        <w:rPr>
          <w:rFonts w:asciiTheme="minorEastAsia" w:hAnsiTheme="minorEastAsia" w:cs="メイリオ"/>
          <w:snapToGrid w:val="0"/>
          <w:color w:val="000000" w:themeColor="text1"/>
          <w:sz w:val="22"/>
        </w:rPr>
      </w:pPr>
      <w:r w:rsidRPr="001C31EE">
        <w:rPr>
          <w:rFonts w:asciiTheme="minorEastAsia" w:hAnsiTheme="minorEastAsia" w:cstheme="majorBidi" w:hint="eastAsia"/>
          <w:color w:val="000000" w:themeColor="text1"/>
          <w:sz w:val="22"/>
        </w:rPr>
        <w:lastRenderedPageBreak/>
        <w:t>上記算定結果と逸失利益相当額および最低保証額の大小関係から，基本料金は以下のとおりとする</w:t>
      </w:r>
      <w:r w:rsidRPr="001C31EE">
        <w:rPr>
          <w:rFonts w:asciiTheme="minorEastAsia" w:hAnsiTheme="minorEastAsia" w:cs="メイリオ" w:hint="eastAsia"/>
          <w:snapToGrid w:val="0"/>
          <w:color w:val="000000" w:themeColor="text1"/>
          <w:sz w:val="22"/>
        </w:rPr>
        <w:t>。</w:t>
      </w:r>
    </w:p>
    <w:p w14:paraId="1CE78F63" w14:textId="77777777" w:rsidR="009735AD" w:rsidRPr="001C31EE" w:rsidRDefault="009735AD" w:rsidP="009735AD">
      <w:pPr>
        <w:ind w:leftChars="200" w:left="640" w:hangingChars="100" w:hanging="220"/>
        <w:rPr>
          <w:rFonts w:asciiTheme="minorEastAsia" w:hAnsiTheme="minorEastAsia" w:cs="メイリオ"/>
          <w:snapToGrid w:val="0"/>
          <w:color w:val="000000" w:themeColor="text1"/>
          <w:sz w:val="22"/>
        </w:rPr>
      </w:pPr>
    </w:p>
    <w:p w14:paraId="7A74868D" w14:textId="77777777" w:rsidR="009735AD" w:rsidRPr="001C31EE" w:rsidRDefault="009735AD" w:rsidP="009735AD">
      <w:pPr>
        <w:ind w:leftChars="100" w:left="210" w:firstLineChars="377" w:firstLine="829"/>
        <w:rPr>
          <w:rFonts w:asciiTheme="minorEastAsia" w:hAnsiTheme="minorEastAsia" w:cs="メイリオ"/>
          <w:snapToGrid w:val="0"/>
          <w:color w:val="000000" w:themeColor="text1"/>
          <w:sz w:val="22"/>
        </w:rPr>
      </w:pPr>
      <w:r w:rsidRPr="001C31EE">
        <w:rPr>
          <w:rFonts w:asciiTheme="minorEastAsia" w:hAnsiTheme="minorEastAsia" w:cs="メイリオ" w:hint="eastAsia"/>
          <w:snapToGrid w:val="0"/>
          <w:color w:val="000000" w:themeColor="text1"/>
          <w:sz w:val="22"/>
        </w:rPr>
        <w:t>イ　逸失利益相当額＋</w:t>
      </w:r>
      <w:r w:rsidRPr="001C31EE">
        <w:rPr>
          <w:rFonts w:asciiTheme="minorEastAsia" w:hAnsiTheme="minorEastAsia" w:cstheme="majorBidi" w:hint="eastAsia"/>
          <w:color w:val="000000" w:themeColor="text1"/>
          <w:sz w:val="22"/>
        </w:rPr>
        <w:t>最低保証額≦基本料金算定結果</w:t>
      </w:r>
    </w:p>
    <w:p w14:paraId="635ADB43" w14:textId="77777777" w:rsidR="009735AD" w:rsidRPr="001C31EE" w:rsidRDefault="009735AD" w:rsidP="009735AD">
      <w:pPr>
        <w:widowControl/>
        <w:ind w:leftChars="405" w:left="850" w:firstLineChars="207" w:firstLine="455"/>
        <w:rPr>
          <w:rFonts w:asciiTheme="minorEastAsia" w:hAnsiTheme="minorEastAsia" w:cstheme="majorBidi"/>
          <w:color w:val="000000" w:themeColor="text1"/>
          <w:sz w:val="22"/>
        </w:rPr>
      </w:pPr>
      <w:r w:rsidRPr="001C31EE">
        <w:rPr>
          <w:rFonts w:asciiTheme="minorEastAsia" w:hAnsiTheme="minorEastAsia" w:cs="メイリオ" w:hint="eastAsia"/>
          <w:snapToGrid w:val="0"/>
          <w:color w:val="000000" w:themeColor="text1"/>
          <w:sz w:val="22"/>
        </w:rPr>
        <w:t>算定結果を基本料金とする。</w:t>
      </w:r>
    </w:p>
    <w:p w14:paraId="2F9A85EA" w14:textId="77777777" w:rsidR="009735AD" w:rsidRPr="001C31EE" w:rsidRDefault="009735AD" w:rsidP="009735AD">
      <w:pPr>
        <w:widowControl/>
        <w:ind w:leftChars="404" w:left="848" w:firstLineChars="69" w:firstLine="152"/>
        <w:rPr>
          <w:rFonts w:asciiTheme="minorEastAsia" w:hAnsiTheme="minorEastAsia" w:cstheme="majorBidi"/>
          <w:color w:val="000000" w:themeColor="text1"/>
          <w:sz w:val="22"/>
        </w:rPr>
      </w:pPr>
      <w:r w:rsidRPr="001C31EE">
        <w:rPr>
          <w:rFonts w:asciiTheme="minorEastAsia" w:hAnsiTheme="minorEastAsia" w:cstheme="majorBidi" w:hint="eastAsia"/>
          <w:color w:val="000000" w:themeColor="text1"/>
          <w:sz w:val="22"/>
        </w:rPr>
        <w:t>ロ　逸失利益相当額＋最低保証額＞基本料金算定結果</w:t>
      </w:r>
    </w:p>
    <w:p w14:paraId="56101D0D" w14:textId="77777777" w:rsidR="009735AD" w:rsidRPr="001C31EE" w:rsidRDefault="009735AD" w:rsidP="009735AD">
      <w:pPr>
        <w:widowControl/>
        <w:ind w:leftChars="480" w:left="1008" w:firstLineChars="130" w:firstLine="286"/>
        <w:rPr>
          <w:rFonts w:asciiTheme="minorEastAsia" w:hAnsiTheme="minorEastAsia" w:cs="メイリオ"/>
          <w:snapToGrid w:val="0"/>
          <w:color w:val="000000" w:themeColor="text1"/>
          <w:sz w:val="22"/>
        </w:rPr>
      </w:pPr>
      <w:r w:rsidRPr="001C31EE">
        <w:rPr>
          <w:rFonts w:asciiTheme="minorEastAsia" w:hAnsiTheme="minorEastAsia" w:cs="メイリオ" w:hint="eastAsia"/>
          <w:snapToGrid w:val="0"/>
          <w:color w:val="000000" w:themeColor="text1"/>
          <w:sz w:val="22"/>
        </w:rPr>
        <w:t>逸失利益相当額と最低保証額の合計を基本料金とする。</w:t>
      </w:r>
    </w:p>
    <w:p w14:paraId="3D9DBE31" w14:textId="77777777" w:rsidR="009735AD" w:rsidRPr="001C31EE" w:rsidRDefault="009735AD" w:rsidP="009735AD">
      <w:pPr>
        <w:widowControl/>
        <w:ind w:leftChars="150" w:left="420" w:hangingChars="50" w:hanging="105"/>
        <w:rPr>
          <w:color w:val="000000" w:themeColor="text1"/>
        </w:rPr>
      </w:pPr>
    </w:p>
    <w:p w14:paraId="67962B80" w14:textId="77777777" w:rsidR="009735AD" w:rsidRPr="00C40BD5" w:rsidRDefault="009735AD" w:rsidP="009735AD">
      <w:pPr>
        <w:widowControl/>
        <w:ind w:leftChars="280" w:left="588" w:firstLineChars="100" w:firstLine="210"/>
      </w:pPr>
      <w:r w:rsidRPr="001C31EE">
        <w:rPr>
          <w:rFonts w:hint="eastAsia"/>
          <w:color w:val="000000" w:themeColor="text1"/>
        </w:rPr>
        <w:t>甲は，基本料金に係る覚書の締結に向けて，期待利潤および期待利潤の減少分について再算定するものとし，乙は，入札時に算定された当該価格との比較により精査</w:t>
      </w:r>
      <w:r w:rsidRPr="001C31EE">
        <w:rPr>
          <w:rFonts w:hint="eastAsia"/>
          <w:color w:val="000000" w:themeColor="text1"/>
          <w:vertAlign w:val="superscript"/>
        </w:rPr>
        <w:t>※６</w:t>
      </w:r>
      <w:r w:rsidRPr="001C31EE">
        <w:rPr>
          <w:rFonts w:hint="eastAsia"/>
          <w:color w:val="000000" w:themeColor="text1"/>
        </w:rPr>
        <w:t>したうえ，</w:t>
      </w:r>
      <w:r w:rsidRPr="001C31EE">
        <w:rPr>
          <w:rFonts w:hint="eastAsia"/>
          <w:color w:val="000000" w:themeColor="text1"/>
        </w:rPr>
        <w:t xml:space="preserve"> </w:t>
      </w:r>
      <w:r w:rsidRPr="001C31EE">
        <w:rPr>
          <w:rFonts w:hint="eastAsia"/>
          <w:color w:val="000000" w:themeColor="text1"/>
        </w:rPr>
        <w:t>基本料金を決定する</w:t>
      </w:r>
      <w:r w:rsidRPr="00C40BD5">
        <w:rPr>
          <w:rFonts w:hint="eastAsia"/>
        </w:rPr>
        <w:t>ものとする。</w:t>
      </w:r>
    </w:p>
    <w:p w14:paraId="070FB534" w14:textId="77777777" w:rsidR="009735AD" w:rsidRPr="00C40BD5" w:rsidRDefault="009735AD" w:rsidP="009735AD">
      <w:pPr>
        <w:widowControl/>
        <w:ind w:leftChars="280" w:left="588" w:firstLineChars="100" w:firstLine="210"/>
        <w:rPr>
          <w:rFonts w:asciiTheme="minorEastAsia" w:eastAsia="ＭＳ 明朝 (本文のフォント - 日・" w:hAnsiTheme="minorEastAsia"/>
          <w:szCs w:val="21"/>
        </w:rPr>
      </w:pPr>
      <w:r w:rsidRPr="00C40BD5">
        <w:rPr>
          <w:rFonts w:hint="eastAsia"/>
        </w:rPr>
        <w:t>なお</w:t>
      </w:r>
      <w:r w:rsidRPr="00C40BD5">
        <w:rPr>
          <w:rFonts w:asciiTheme="minorEastAsia" w:eastAsia="ＭＳ 明朝 (本文のフォント - 日・" w:hAnsiTheme="minorEastAsia" w:hint="eastAsia"/>
          <w:szCs w:val="21"/>
        </w:rPr>
        <w:t>，</w:t>
      </w:r>
      <w:r w:rsidRPr="00C40BD5">
        <w:rPr>
          <w:rFonts w:hint="eastAsia"/>
        </w:rPr>
        <w:t>基本料金に係る覚書の締結時に算定される基本料金は、入札時の期待利潤および期待利潤の減少分を用いて算定される基本料金を上回らないものと</w:t>
      </w:r>
      <w:r w:rsidRPr="00C40BD5">
        <w:rPr>
          <w:rFonts w:asciiTheme="minorEastAsia" w:hAnsiTheme="minorEastAsia" w:cs="メイリオ" w:hint="eastAsia"/>
          <w:snapToGrid w:val="0"/>
          <w:sz w:val="22"/>
        </w:rPr>
        <w:t>する。</w:t>
      </w:r>
    </w:p>
    <w:p w14:paraId="00A74E5B" w14:textId="77777777" w:rsidR="009735AD" w:rsidRPr="00C40BD5" w:rsidRDefault="009735AD" w:rsidP="009735AD">
      <w:pPr>
        <w:widowControl/>
        <w:ind w:leftChars="284" w:left="596" w:firstLineChars="66" w:firstLine="139"/>
        <w:rPr>
          <w:rFonts w:asciiTheme="minorEastAsia" w:eastAsia="ＭＳ 明朝 (本文のフォント - 日本語)" w:hAnsiTheme="minorEastAsia" w:cstheme="majorBidi"/>
          <w:szCs w:val="21"/>
        </w:rPr>
      </w:pPr>
      <w:r w:rsidRPr="00C40BD5">
        <w:rPr>
          <w:rFonts w:asciiTheme="minorEastAsia" w:hAnsiTheme="minorEastAsia" w:cstheme="majorBidi" w:hint="eastAsia"/>
          <w:szCs w:val="21"/>
        </w:rPr>
        <w:t>上記再算定については，以下スケジュールにて対応するものとし，変更する場合，乙は，速やかに甲へ通知するものとする。</w:t>
      </w:r>
    </w:p>
    <w:p w14:paraId="2D75B0F5" w14:textId="77777777" w:rsidR="009735AD" w:rsidRPr="00C40BD5" w:rsidRDefault="009735AD" w:rsidP="009735AD">
      <w:pPr>
        <w:widowControl/>
        <w:ind w:leftChars="150" w:left="420" w:hangingChars="50" w:hanging="105"/>
        <w:rPr>
          <w:rFonts w:asciiTheme="minorEastAsia" w:hAnsiTheme="minorEastAsia" w:cstheme="majorBidi"/>
          <w:szCs w:val="21"/>
        </w:rPr>
      </w:pPr>
    </w:p>
    <w:p w14:paraId="17126DD1" w14:textId="3431B58F" w:rsidR="009735AD" w:rsidRPr="00C40BD5" w:rsidRDefault="009735AD" w:rsidP="009735AD">
      <w:pPr>
        <w:widowControl/>
        <w:ind w:leftChars="200" w:left="420" w:firstLineChars="266" w:firstLine="559"/>
        <w:rPr>
          <w:rFonts w:asciiTheme="minorEastAsia" w:hAnsiTheme="minorEastAsia" w:cstheme="majorBidi"/>
          <w:szCs w:val="21"/>
        </w:rPr>
      </w:pPr>
      <w:r w:rsidRPr="00C40BD5">
        <w:rPr>
          <w:rFonts w:asciiTheme="minorEastAsia" w:hAnsiTheme="minorEastAsia" w:cstheme="majorBidi" w:hint="eastAsia"/>
          <w:szCs w:val="21"/>
        </w:rPr>
        <w:t>２０</w:t>
      </w:r>
      <w:r w:rsidR="00997B30" w:rsidRPr="00C40BD5">
        <w:rPr>
          <w:rFonts w:asciiTheme="minorEastAsia" w:hAnsiTheme="minorEastAsia" w:cstheme="majorBidi" w:hint="eastAsia"/>
          <w:szCs w:val="21"/>
        </w:rPr>
        <w:t>２９</w:t>
      </w:r>
      <w:r w:rsidRPr="00C40BD5">
        <w:rPr>
          <w:rFonts w:asciiTheme="minorEastAsia" w:hAnsiTheme="minorEastAsia" w:cstheme="majorBidi" w:hint="eastAsia"/>
          <w:szCs w:val="21"/>
        </w:rPr>
        <w:t>年１２月</w:t>
      </w:r>
      <w:r w:rsidR="00997B30" w:rsidRPr="00C40BD5">
        <w:rPr>
          <w:rFonts w:asciiTheme="minorEastAsia" w:hAnsiTheme="minorEastAsia" w:cstheme="majorBidi" w:hint="eastAsia"/>
          <w:szCs w:val="21"/>
        </w:rPr>
        <w:t>３</w:t>
      </w:r>
      <w:r w:rsidRPr="00C40BD5">
        <w:rPr>
          <w:rFonts w:asciiTheme="minorEastAsia" w:hAnsiTheme="minorEastAsia" w:cstheme="majorBidi" w:hint="eastAsia"/>
          <w:szCs w:val="21"/>
        </w:rPr>
        <w:t>日（</w:t>
      </w:r>
      <w:r w:rsidR="00997B30" w:rsidRPr="00C40BD5">
        <w:rPr>
          <w:rFonts w:asciiTheme="minorEastAsia" w:hAnsiTheme="minorEastAsia" w:cstheme="majorBidi" w:hint="eastAsia"/>
          <w:szCs w:val="21"/>
        </w:rPr>
        <w:t>月</w:t>
      </w:r>
      <w:r w:rsidRPr="00C40BD5">
        <w:rPr>
          <w:rFonts w:asciiTheme="minorEastAsia" w:hAnsiTheme="minorEastAsia" w:cstheme="majorBidi" w:hint="eastAsia"/>
          <w:szCs w:val="21"/>
        </w:rPr>
        <w:t>）～</w:t>
      </w:r>
      <w:r w:rsidR="00997B30" w:rsidRPr="00C40BD5">
        <w:rPr>
          <w:rFonts w:asciiTheme="minorEastAsia" w:hAnsiTheme="minorEastAsia" w:cstheme="majorBidi" w:hint="eastAsia"/>
          <w:szCs w:val="21"/>
        </w:rPr>
        <w:t>２０２９年１２</w:t>
      </w:r>
      <w:r w:rsidRPr="00C40BD5">
        <w:rPr>
          <w:rFonts w:asciiTheme="minorEastAsia" w:hAnsiTheme="minorEastAsia" w:cstheme="majorBidi" w:hint="eastAsia"/>
          <w:szCs w:val="21"/>
        </w:rPr>
        <w:t>月２</w:t>
      </w:r>
      <w:r w:rsidR="00997B30" w:rsidRPr="00C40BD5">
        <w:rPr>
          <w:rFonts w:asciiTheme="minorEastAsia" w:hAnsiTheme="minorEastAsia" w:cstheme="majorBidi" w:hint="eastAsia"/>
          <w:szCs w:val="21"/>
        </w:rPr>
        <w:t>８</w:t>
      </w:r>
      <w:r w:rsidRPr="00C40BD5">
        <w:rPr>
          <w:rFonts w:asciiTheme="minorEastAsia" w:hAnsiTheme="minorEastAsia" w:cstheme="majorBidi" w:hint="eastAsia"/>
          <w:szCs w:val="21"/>
        </w:rPr>
        <w:t>日（金）</w:t>
      </w:r>
    </w:p>
    <w:p w14:paraId="390B9C7E" w14:textId="6064E1CB" w:rsidR="009735AD" w:rsidRPr="00C40BD5" w:rsidRDefault="009735AD" w:rsidP="009735AD">
      <w:pPr>
        <w:widowControl/>
        <w:ind w:leftChars="547" w:left="1149" w:firstLineChars="33" w:firstLine="69"/>
        <w:rPr>
          <w:rFonts w:asciiTheme="minorEastAsia" w:hAnsiTheme="minorEastAsia" w:cstheme="majorBidi"/>
          <w:szCs w:val="21"/>
        </w:rPr>
      </w:pPr>
      <w:r w:rsidRPr="00C40BD5">
        <w:rPr>
          <w:rFonts w:asciiTheme="minorEastAsia" w:hAnsiTheme="minorEastAsia" w:cstheme="majorBidi" w:hint="eastAsia"/>
          <w:szCs w:val="21"/>
        </w:rPr>
        <w:t>甲は，期待利潤および期待利潤の減少分再算定実施および算定結果を</w:t>
      </w:r>
      <w:r w:rsidR="00BA6FB9" w:rsidRPr="00C40BD5">
        <w:rPr>
          <w:rFonts w:asciiTheme="minorEastAsia" w:hAnsiTheme="minorEastAsia" w:cstheme="majorBidi" w:hint="eastAsia"/>
          <w:szCs w:val="21"/>
        </w:rPr>
        <w:t>乙へ</w:t>
      </w:r>
      <w:r w:rsidRPr="00C40BD5">
        <w:rPr>
          <w:rFonts w:asciiTheme="minorEastAsia" w:hAnsiTheme="minorEastAsia" w:cstheme="majorBidi" w:hint="eastAsia"/>
          <w:szCs w:val="21"/>
        </w:rPr>
        <w:t>提出するものとする。</w:t>
      </w:r>
    </w:p>
    <w:p w14:paraId="0D7F5A64" w14:textId="514AFFFC" w:rsidR="009735AD" w:rsidRPr="00C40BD5" w:rsidRDefault="009735AD" w:rsidP="009735AD">
      <w:pPr>
        <w:widowControl/>
        <w:ind w:leftChars="200" w:left="420" w:firstLineChars="266" w:firstLine="559"/>
        <w:rPr>
          <w:rFonts w:asciiTheme="minorEastAsia" w:hAnsiTheme="minorEastAsia" w:cstheme="majorBidi"/>
          <w:szCs w:val="21"/>
        </w:rPr>
      </w:pPr>
      <w:r w:rsidRPr="00C40BD5">
        <w:rPr>
          <w:rFonts w:asciiTheme="minorEastAsia" w:hAnsiTheme="minorEastAsia" w:cstheme="majorBidi" w:hint="eastAsia"/>
          <w:szCs w:val="21"/>
        </w:rPr>
        <w:t>２０</w:t>
      </w:r>
      <w:r w:rsidR="00997B30" w:rsidRPr="00C40BD5">
        <w:rPr>
          <w:rFonts w:asciiTheme="minorEastAsia" w:hAnsiTheme="minorEastAsia" w:cstheme="majorBidi" w:hint="eastAsia"/>
          <w:szCs w:val="21"/>
        </w:rPr>
        <w:t>３０</w:t>
      </w:r>
      <w:r w:rsidRPr="00C40BD5">
        <w:rPr>
          <w:rFonts w:asciiTheme="minorEastAsia" w:hAnsiTheme="minorEastAsia" w:cstheme="majorBidi" w:hint="eastAsia"/>
          <w:szCs w:val="21"/>
        </w:rPr>
        <w:t>年１月</w:t>
      </w:r>
      <w:r w:rsidR="00997B30" w:rsidRPr="00C40BD5">
        <w:rPr>
          <w:rFonts w:asciiTheme="minorEastAsia" w:hAnsiTheme="minorEastAsia" w:cstheme="majorBidi" w:hint="eastAsia"/>
          <w:szCs w:val="21"/>
        </w:rPr>
        <w:t>７</w:t>
      </w:r>
      <w:r w:rsidRPr="00C40BD5">
        <w:rPr>
          <w:rFonts w:asciiTheme="minorEastAsia" w:hAnsiTheme="minorEastAsia" w:cstheme="majorBidi" w:hint="eastAsia"/>
          <w:szCs w:val="21"/>
        </w:rPr>
        <w:t>日（月）～２０</w:t>
      </w:r>
      <w:r w:rsidR="00997B30" w:rsidRPr="00C40BD5">
        <w:rPr>
          <w:rFonts w:asciiTheme="minorEastAsia" w:hAnsiTheme="minorEastAsia" w:cstheme="majorBidi" w:hint="eastAsia"/>
          <w:szCs w:val="21"/>
        </w:rPr>
        <w:t>３０</w:t>
      </w:r>
      <w:r w:rsidRPr="00C40BD5">
        <w:rPr>
          <w:rFonts w:asciiTheme="minorEastAsia" w:hAnsiTheme="minorEastAsia" w:cstheme="majorBidi" w:hint="eastAsia"/>
          <w:szCs w:val="21"/>
        </w:rPr>
        <w:t>年２月２８日（</w:t>
      </w:r>
      <w:r w:rsidR="00997B30" w:rsidRPr="00C40BD5">
        <w:rPr>
          <w:rFonts w:asciiTheme="minorEastAsia" w:hAnsiTheme="minorEastAsia" w:cstheme="majorBidi" w:hint="eastAsia"/>
          <w:szCs w:val="21"/>
        </w:rPr>
        <w:t>木</w:t>
      </w:r>
      <w:r w:rsidRPr="00C40BD5">
        <w:rPr>
          <w:rFonts w:asciiTheme="minorEastAsia" w:hAnsiTheme="minorEastAsia" w:cstheme="majorBidi" w:hint="eastAsia"/>
          <w:szCs w:val="21"/>
        </w:rPr>
        <w:t>）</w:t>
      </w:r>
    </w:p>
    <w:p w14:paraId="69BB6A91" w14:textId="58BB903C" w:rsidR="009735AD" w:rsidRPr="00C40BD5" w:rsidRDefault="009735AD" w:rsidP="009735AD">
      <w:pPr>
        <w:widowControl/>
        <w:ind w:leftChars="200" w:left="420" w:firstLineChars="381" w:firstLine="800"/>
        <w:rPr>
          <w:rFonts w:asciiTheme="minorEastAsia" w:hAnsiTheme="minorEastAsia" w:cstheme="majorBidi"/>
          <w:szCs w:val="21"/>
        </w:rPr>
      </w:pPr>
      <w:r w:rsidRPr="00C40BD5">
        <w:rPr>
          <w:rFonts w:asciiTheme="minorEastAsia" w:hAnsiTheme="minorEastAsia" w:cstheme="majorBidi" w:hint="eastAsia"/>
          <w:szCs w:val="21"/>
        </w:rPr>
        <w:t>乙は，甲の再算定結果</w:t>
      </w:r>
      <w:r w:rsidR="00316809" w:rsidRPr="00C40BD5">
        <w:rPr>
          <w:rFonts w:asciiTheme="minorEastAsia" w:hAnsiTheme="minorEastAsia" w:cstheme="majorBidi" w:hint="eastAsia"/>
          <w:szCs w:val="21"/>
        </w:rPr>
        <w:t>を</w:t>
      </w:r>
      <w:r w:rsidRPr="00C40BD5">
        <w:rPr>
          <w:rFonts w:asciiTheme="minorEastAsia" w:hAnsiTheme="minorEastAsia" w:cstheme="majorBidi" w:hint="eastAsia"/>
          <w:szCs w:val="21"/>
        </w:rPr>
        <w:t>確認のうえ，協議を行うものとする。</w:t>
      </w:r>
    </w:p>
    <w:p w14:paraId="55F43E60" w14:textId="2D9BAB59" w:rsidR="009735AD" w:rsidRPr="00C40BD5" w:rsidRDefault="009735AD" w:rsidP="009735AD">
      <w:pPr>
        <w:widowControl/>
        <w:ind w:leftChars="200" w:left="420" w:firstLineChars="266" w:firstLine="559"/>
        <w:rPr>
          <w:rFonts w:asciiTheme="minorEastAsia" w:hAnsiTheme="minorEastAsia" w:cstheme="majorBidi"/>
          <w:szCs w:val="21"/>
        </w:rPr>
      </w:pPr>
      <w:r w:rsidRPr="00C40BD5">
        <w:rPr>
          <w:rFonts w:asciiTheme="minorEastAsia" w:hAnsiTheme="minorEastAsia" w:cstheme="majorBidi" w:hint="eastAsia"/>
          <w:szCs w:val="21"/>
        </w:rPr>
        <w:t>２０</w:t>
      </w:r>
      <w:r w:rsidR="00997B30" w:rsidRPr="00C40BD5">
        <w:rPr>
          <w:rFonts w:asciiTheme="minorEastAsia" w:hAnsiTheme="minorEastAsia" w:cstheme="majorBidi" w:hint="eastAsia"/>
          <w:szCs w:val="21"/>
        </w:rPr>
        <w:t>３０</w:t>
      </w:r>
      <w:r w:rsidRPr="00C40BD5">
        <w:rPr>
          <w:rFonts w:asciiTheme="minorEastAsia" w:hAnsiTheme="minorEastAsia" w:cstheme="majorBidi" w:hint="eastAsia"/>
          <w:szCs w:val="21"/>
        </w:rPr>
        <w:t>年３月１日（</w:t>
      </w:r>
      <w:r w:rsidR="00997B30" w:rsidRPr="00C40BD5">
        <w:rPr>
          <w:rFonts w:asciiTheme="minorEastAsia" w:hAnsiTheme="minorEastAsia" w:cstheme="majorBidi" w:hint="eastAsia"/>
          <w:szCs w:val="21"/>
        </w:rPr>
        <w:t>金</w:t>
      </w:r>
      <w:r w:rsidRPr="00C40BD5">
        <w:rPr>
          <w:rFonts w:asciiTheme="minorEastAsia" w:hAnsiTheme="minorEastAsia" w:cstheme="majorBidi" w:hint="eastAsia"/>
          <w:szCs w:val="21"/>
        </w:rPr>
        <w:t>）～２０</w:t>
      </w:r>
      <w:r w:rsidR="00997B30" w:rsidRPr="00C40BD5">
        <w:rPr>
          <w:rFonts w:asciiTheme="minorEastAsia" w:hAnsiTheme="minorEastAsia" w:cstheme="majorBidi" w:hint="eastAsia"/>
          <w:szCs w:val="21"/>
        </w:rPr>
        <w:t>３０</w:t>
      </w:r>
      <w:r w:rsidRPr="00C40BD5">
        <w:rPr>
          <w:rFonts w:asciiTheme="minorEastAsia" w:hAnsiTheme="minorEastAsia" w:cstheme="majorBidi" w:hint="eastAsia"/>
          <w:szCs w:val="21"/>
        </w:rPr>
        <w:t>年３月２</w:t>
      </w:r>
      <w:r w:rsidR="00997B30" w:rsidRPr="00C40BD5">
        <w:rPr>
          <w:rFonts w:asciiTheme="minorEastAsia" w:hAnsiTheme="minorEastAsia" w:cstheme="majorBidi" w:hint="eastAsia"/>
          <w:szCs w:val="21"/>
        </w:rPr>
        <w:t>８</w:t>
      </w:r>
      <w:r w:rsidRPr="00C40BD5">
        <w:rPr>
          <w:rFonts w:asciiTheme="minorEastAsia" w:hAnsiTheme="minorEastAsia" w:cstheme="majorBidi" w:hint="eastAsia"/>
          <w:szCs w:val="21"/>
        </w:rPr>
        <w:t>日（木）</w:t>
      </w:r>
    </w:p>
    <w:p w14:paraId="1609D2D4" w14:textId="77777777" w:rsidR="009735AD" w:rsidRPr="00C40BD5" w:rsidRDefault="009735AD" w:rsidP="009735AD">
      <w:pPr>
        <w:widowControl/>
        <w:ind w:leftChars="200" w:left="420" w:firstLineChars="381" w:firstLine="800"/>
        <w:rPr>
          <w:rFonts w:asciiTheme="minorEastAsia" w:hAnsiTheme="minorEastAsia" w:cstheme="majorBidi"/>
          <w:szCs w:val="21"/>
        </w:rPr>
      </w:pPr>
      <w:r w:rsidRPr="00C40BD5">
        <w:rPr>
          <w:rFonts w:asciiTheme="minorEastAsia" w:hAnsiTheme="minorEastAsia" w:cstheme="majorBidi" w:hint="eastAsia"/>
          <w:szCs w:val="21"/>
        </w:rPr>
        <w:t>甲および乙は，基本料金に係る覚書の締結を行うものとする。</w:t>
      </w:r>
    </w:p>
    <w:p w14:paraId="456309F0" w14:textId="77777777" w:rsidR="009735AD" w:rsidRPr="00C40BD5" w:rsidRDefault="009735AD" w:rsidP="009735AD">
      <w:pPr>
        <w:widowControl/>
        <w:ind w:leftChars="200" w:left="420" w:firstLineChars="381" w:firstLine="800"/>
        <w:rPr>
          <w:rFonts w:asciiTheme="minorEastAsia" w:hAnsiTheme="minorEastAsia" w:cstheme="majorBidi"/>
          <w:szCs w:val="21"/>
        </w:rPr>
      </w:pPr>
    </w:p>
    <w:p w14:paraId="44FCD339" w14:textId="77777777" w:rsidR="009735AD" w:rsidRPr="00C40BD5" w:rsidRDefault="009735AD" w:rsidP="009735AD">
      <w:pPr>
        <w:ind w:leftChars="440" w:left="1419" w:hangingChars="225" w:hanging="495"/>
        <w:rPr>
          <w:rFonts w:asciiTheme="minorEastAsia" w:hAnsiTheme="minorEastAsia" w:cs="メイリオ"/>
          <w:snapToGrid w:val="0"/>
          <w:sz w:val="22"/>
        </w:rPr>
      </w:pPr>
      <w:r w:rsidRPr="00C40BD5">
        <w:rPr>
          <w:rFonts w:hint="eastAsia"/>
          <w:sz w:val="22"/>
        </w:rPr>
        <w:t xml:space="preserve">※１　</w:t>
      </w:r>
      <w:r w:rsidRPr="00C40BD5">
        <w:rPr>
          <w:rFonts w:asciiTheme="minorEastAsia" w:hAnsiTheme="minorEastAsia" w:cs="メイリオ" w:hint="eastAsia"/>
          <w:snapToGrid w:val="0"/>
          <w:sz w:val="22"/>
        </w:rPr>
        <w:t>監督官庁によるブラックスタート機能公募調達結果の事後確認により，期待利潤の再計算が必要となる場合がある。</w:t>
      </w:r>
    </w:p>
    <w:p w14:paraId="32401D4E" w14:textId="77777777" w:rsidR="009735AD" w:rsidRPr="00C40BD5" w:rsidRDefault="009735AD" w:rsidP="009735AD">
      <w:pPr>
        <w:ind w:leftChars="440" w:left="1419" w:hangingChars="225" w:hanging="495"/>
        <w:rPr>
          <w:rFonts w:asciiTheme="minorEastAsia" w:hAnsiTheme="minorEastAsia" w:cs="メイリオ"/>
          <w:snapToGrid w:val="0"/>
          <w:sz w:val="22"/>
        </w:rPr>
      </w:pPr>
      <w:r w:rsidRPr="00C40BD5">
        <w:rPr>
          <w:rFonts w:asciiTheme="minorEastAsia" w:hAnsiTheme="minorEastAsia" w:cs="メイリオ" w:hint="eastAsia"/>
          <w:snapToGrid w:val="0"/>
          <w:sz w:val="22"/>
        </w:rPr>
        <w:t>※２　容量市場から支払われる対価相当額は必要電力（kW）・必要電力量（kWh）を控除する前の値（円）とする。</w:t>
      </w:r>
    </w:p>
    <w:p w14:paraId="7B348BD0" w14:textId="56F801AD" w:rsidR="00997B30" w:rsidRPr="00C40BD5" w:rsidRDefault="00997B30" w:rsidP="009735AD">
      <w:pPr>
        <w:ind w:leftChars="440" w:left="1419" w:hangingChars="225" w:hanging="495"/>
        <w:rPr>
          <w:rFonts w:asciiTheme="minorEastAsia" w:hAnsiTheme="minorEastAsia" w:cs="メイリオ"/>
          <w:snapToGrid w:val="0"/>
          <w:sz w:val="22"/>
        </w:rPr>
      </w:pPr>
      <w:r w:rsidRPr="00C40BD5">
        <w:rPr>
          <w:rFonts w:asciiTheme="minorEastAsia" w:hAnsiTheme="minorEastAsia" w:cs="メイリオ" w:hint="eastAsia"/>
          <w:snapToGrid w:val="0"/>
          <w:sz w:val="22"/>
        </w:rPr>
        <w:t>※３　容量市場から支払われる対価相当金額は，２０３０年度向け容量市場の応札有無および落札有無を問わず控除するものとする。</w:t>
      </w:r>
    </w:p>
    <w:p w14:paraId="60B10CE1" w14:textId="5207982B" w:rsidR="009735AD" w:rsidRPr="001C31EE" w:rsidRDefault="009735AD" w:rsidP="009735AD">
      <w:pPr>
        <w:ind w:leftChars="426" w:left="1421" w:hangingChars="239" w:hanging="526"/>
        <w:jc w:val="left"/>
        <w:rPr>
          <w:rFonts w:asciiTheme="minorEastAsia" w:hAnsiTheme="minorEastAsia" w:cs="メイリオ"/>
          <w:snapToGrid w:val="0"/>
          <w:color w:val="000000" w:themeColor="text1"/>
        </w:rPr>
      </w:pPr>
      <w:r w:rsidRPr="00C40BD5">
        <w:rPr>
          <w:rFonts w:hint="eastAsia"/>
          <w:sz w:val="22"/>
        </w:rPr>
        <w:t>※</w:t>
      </w:r>
      <w:r w:rsidR="00997B30" w:rsidRPr="00C40BD5">
        <w:rPr>
          <w:rFonts w:hint="eastAsia"/>
          <w:sz w:val="22"/>
        </w:rPr>
        <w:t>４</w:t>
      </w:r>
      <w:r w:rsidRPr="00C40BD5">
        <w:rPr>
          <w:rFonts w:hint="eastAsia"/>
          <w:sz w:val="22"/>
        </w:rPr>
        <w:t xml:space="preserve">　電力広域的運営推進機関（以下「広域機関」という。）が公表する「容量市場メインオークション募集要綱（対象実需給年度：２０</w:t>
      </w:r>
      <w:r w:rsidR="00997B30" w:rsidRPr="00C40BD5">
        <w:rPr>
          <w:rFonts w:hint="eastAsia"/>
          <w:sz w:val="22"/>
        </w:rPr>
        <w:t>３０</w:t>
      </w:r>
      <w:r w:rsidRPr="00C40BD5">
        <w:rPr>
          <w:rFonts w:hint="eastAsia"/>
          <w:sz w:val="22"/>
        </w:rPr>
        <w:t>年度）」（以下「容量市場要綱」という。）に規定する「期待容量」の算定方法に準じて算定した値とする。</w:t>
      </w:r>
      <w:r w:rsidRPr="00C40BD5">
        <w:rPr>
          <w:rFonts w:asciiTheme="minorEastAsia" w:hAnsiTheme="minorEastAsia" w:cs="メイリオ" w:hint="eastAsia"/>
          <w:snapToGrid w:val="0"/>
          <w:sz w:val="22"/>
        </w:rPr>
        <w:t>なお，合理的な理由がある場合を除き，入札要綱に定め</w:t>
      </w:r>
      <w:r w:rsidRPr="001C31EE">
        <w:rPr>
          <w:rFonts w:asciiTheme="minorEastAsia" w:hAnsiTheme="minorEastAsia" w:cs="メイリオ" w:hint="eastAsia"/>
          <w:snapToGrid w:val="0"/>
          <w:color w:val="000000" w:themeColor="text1"/>
          <w:sz w:val="22"/>
        </w:rPr>
        <w:t>る「</w:t>
      </w:r>
      <w:r w:rsidRPr="001C31EE">
        <w:rPr>
          <w:rFonts w:asciiTheme="minorEastAsia" w:hAnsiTheme="minorEastAsia" w:cs="メイリオ"/>
          <w:snapToGrid w:val="0"/>
          <w:color w:val="000000" w:themeColor="text1"/>
          <w:sz w:val="22"/>
        </w:rPr>
        <w:t>落札案件の決定」の想定期待容量を下回らないものと</w:t>
      </w:r>
      <w:r w:rsidRPr="001C31EE">
        <w:rPr>
          <w:rFonts w:asciiTheme="minorEastAsia" w:hAnsiTheme="minorEastAsia" w:cs="メイリオ" w:hint="eastAsia"/>
          <w:snapToGrid w:val="0"/>
          <w:color w:val="000000" w:themeColor="text1"/>
          <w:sz w:val="22"/>
        </w:rPr>
        <w:t>する。</w:t>
      </w:r>
    </w:p>
    <w:p w14:paraId="034801E3" w14:textId="7134993C" w:rsidR="009735AD" w:rsidRPr="001C31EE" w:rsidRDefault="009735AD" w:rsidP="009735AD">
      <w:pPr>
        <w:ind w:leftChars="440" w:left="1417" w:hangingChars="224" w:hanging="493"/>
        <w:rPr>
          <w:color w:val="000000" w:themeColor="text1"/>
          <w:sz w:val="22"/>
        </w:rPr>
      </w:pPr>
      <w:r w:rsidRPr="001C31EE">
        <w:rPr>
          <w:rFonts w:hint="eastAsia"/>
          <w:color w:val="000000" w:themeColor="text1"/>
          <w:sz w:val="22"/>
        </w:rPr>
        <w:t>※</w:t>
      </w:r>
      <w:r w:rsidR="00997B30">
        <w:rPr>
          <w:rFonts w:hint="eastAsia"/>
          <w:color w:val="000000" w:themeColor="text1"/>
          <w:sz w:val="22"/>
        </w:rPr>
        <w:t>５</w:t>
      </w:r>
      <w:r w:rsidRPr="001C31EE">
        <w:rPr>
          <w:rFonts w:hint="eastAsia"/>
          <w:color w:val="000000" w:themeColor="text1"/>
          <w:sz w:val="22"/>
        </w:rPr>
        <w:t xml:space="preserve">　容量市場要綱に規定する「約定価格」の算定方法に準じて算定した値とする。</w:t>
      </w:r>
    </w:p>
    <w:p w14:paraId="56F57D84" w14:textId="77777777" w:rsidR="009735AD" w:rsidRPr="001C31EE" w:rsidRDefault="009735AD" w:rsidP="009735AD">
      <w:pPr>
        <w:ind w:leftChars="440" w:left="1417" w:hangingChars="224" w:hanging="493"/>
        <w:rPr>
          <w:color w:val="000000" w:themeColor="text1"/>
          <w:szCs w:val="24"/>
        </w:rPr>
      </w:pPr>
      <w:r w:rsidRPr="001C31EE">
        <w:rPr>
          <w:rFonts w:hint="eastAsia"/>
          <w:color w:val="000000" w:themeColor="text1"/>
          <w:sz w:val="22"/>
        </w:rPr>
        <w:t>※６　甲は，乙へ</w:t>
      </w:r>
      <w:r w:rsidRPr="001C31EE">
        <w:rPr>
          <w:rFonts w:hint="eastAsia"/>
          <w:color w:val="000000" w:themeColor="text1"/>
          <w:szCs w:val="24"/>
        </w:rPr>
        <w:t>精査に必要な諸元となる資料を提出するものとする。</w:t>
      </w:r>
    </w:p>
    <w:p w14:paraId="00D49566" w14:textId="77777777" w:rsidR="006148E4" w:rsidRDefault="006148E4" w:rsidP="009735AD">
      <w:pPr>
        <w:ind w:leftChars="440" w:left="1417" w:hangingChars="224" w:hanging="493"/>
        <w:rPr>
          <w:color w:val="000000" w:themeColor="text1"/>
          <w:sz w:val="22"/>
        </w:rPr>
      </w:pPr>
    </w:p>
    <w:p w14:paraId="4B0E3574" w14:textId="77777777" w:rsidR="00997B30" w:rsidRDefault="00997B30" w:rsidP="009735AD">
      <w:pPr>
        <w:ind w:leftChars="440" w:left="1417" w:hangingChars="224" w:hanging="493"/>
        <w:rPr>
          <w:color w:val="000000" w:themeColor="text1"/>
          <w:sz w:val="22"/>
        </w:rPr>
      </w:pPr>
    </w:p>
    <w:p w14:paraId="68ED92B5" w14:textId="77777777" w:rsidR="00997B30" w:rsidRPr="00997B30" w:rsidRDefault="00997B30" w:rsidP="009735AD">
      <w:pPr>
        <w:ind w:leftChars="440" w:left="1417" w:hangingChars="224" w:hanging="493"/>
        <w:rPr>
          <w:color w:val="000000" w:themeColor="text1"/>
          <w:sz w:val="22"/>
        </w:rPr>
      </w:pPr>
    </w:p>
    <w:p w14:paraId="148D5019" w14:textId="6B133DC7" w:rsidR="00520F46" w:rsidRPr="00C40BD5" w:rsidRDefault="00520F46" w:rsidP="00EF51B2">
      <w:pPr>
        <w:tabs>
          <w:tab w:val="left" w:pos="798"/>
        </w:tabs>
        <w:spacing w:beforeLines="50" w:before="180"/>
        <w:ind w:leftChars="324" w:left="1340" w:rightChars="100" w:right="210" w:hangingChars="300" w:hanging="660"/>
        <w:rPr>
          <w:rFonts w:ascii="ＭＳ 明朝" w:hAnsi="ＭＳ 明朝"/>
          <w:sz w:val="24"/>
        </w:rPr>
      </w:pPr>
      <w:r w:rsidRPr="001C31EE">
        <w:rPr>
          <w:rFonts w:hint="eastAsia"/>
          <w:color w:val="000000" w:themeColor="text1"/>
          <w:sz w:val="22"/>
        </w:rPr>
        <w:lastRenderedPageBreak/>
        <w:t>注）　上記の基</w:t>
      </w:r>
      <w:r w:rsidRPr="00C40BD5">
        <w:rPr>
          <w:rFonts w:hint="eastAsia"/>
          <w:sz w:val="22"/>
        </w:rPr>
        <w:t>本料金算定式は，現時点で広域機関が公表している「容量市場メインオークション募集要綱（対象実需給年度：２０２</w:t>
      </w:r>
      <w:r w:rsidR="00997B30" w:rsidRPr="00C40BD5">
        <w:rPr>
          <w:rFonts w:hint="eastAsia"/>
          <w:sz w:val="22"/>
        </w:rPr>
        <w:t>９</w:t>
      </w:r>
      <w:r w:rsidRPr="00C40BD5">
        <w:rPr>
          <w:rFonts w:hint="eastAsia"/>
          <w:sz w:val="22"/>
        </w:rPr>
        <w:t>年度）」の規定を前提としている。今後，国の各審議会，容量市場要綱に関する意見募集等を踏まえて，規定内容が変更となった場合は，変更後の内容に従って算出するものとする。また，※</w:t>
      </w:r>
      <w:r w:rsidR="0090738A" w:rsidRPr="00C40BD5">
        <w:rPr>
          <w:rFonts w:hint="eastAsia"/>
          <w:sz w:val="22"/>
        </w:rPr>
        <w:t>４</w:t>
      </w:r>
      <w:r w:rsidRPr="00C40BD5">
        <w:rPr>
          <w:rFonts w:hint="eastAsia"/>
          <w:sz w:val="22"/>
        </w:rPr>
        <w:t>について，発電所の一部ユニットを入札し，容量市場要綱に規定する算定方法に準じて算定することが困難であると乙が判断した場合，別途，甲と協議のうえ，合理的な値を算定するものとする。</w:t>
      </w:r>
    </w:p>
    <w:p w14:paraId="2A0BFB7F" w14:textId="77777777" w:rsidR="009735AD" w:rsidRPr="00C40BD5" w:rsidRDefault="00520F46" w:rsidP="00603E40">
      <w:pPr>
        <w:ind w:left="708" w:hangingChars="322" w:hanging="708"/>
        <w:rPr>
          <w:sz w:val="22"/>
        </w:rPr>
      </w:pPr>
      <w:r w:rsidRPr="00C40BD5">
        <w:rPr>
          <w:rFonts w:hint="eastAsia"/>
          <w:sz w:val="22"/>
        </w:rPr>
        <w:t xml:space="preserve">　　</w:t>
      </w:r>
    </w:p>
    <w:p w14:paraId="4AA961C3" w14:textId="77777777" w:rsidR="009735AD" w:rsidRPr="00C40BD5" w:rsidRDefault="009735AD" w:rsidP="009735AD">
      <w:pPr>
        <w:ind w:leftChars="200" w:left="629" w:hangingChars="95" w:hanging="209"/>
        <w:rPr>
          <w:sz w:val="22"/>
        </w:rPr>
      </w:pPr>
      <w:r w:rsidRPr="00C40BD5">
        <w:rPr>
          <w:rFonts w:hint="eastAsia"/>
          <w:sz w:val="22"/>
        </w:rPr>
        <w:t>２　上記の基本料金算定式において，逸失利益相当額は，以下のａおよびｂの合計金額を指すものとする。</w:t>
      </w:r>
    </w:p>
    <w:p w14:paraId="5F1862DC" w14:textId="77777777" w:rsidR="009735AD" w:rsidRPr="00C40BD5" w:rsidRDefault="009735AD" w:rsidP="009735AD">
      <w:pPr>
        <w:ind w:leftChars="200" w:left="420" w:firstLineChars="100" w:firstLine="220"/>
        <w:rPr>
          <w:sz w:val="22"/>
        </w:rPr>
      </w:pPr>
      <w:r w:rsidRPr="00C40BD5">
        <w:rPr>
          <w:rFonts w:hint="eastAsia"/>
          <w:sz w:val="22"/>
        </w:rPr>
        <w:t>ａ．期待利潤の減少分</w:t>
      </w:r>
    </w:p>
    <w:p w14:paraId="459576C6" w14:textId="77777777" w:rsidR="009735AD" w:rsidRPr="00C40BD5" w:rsidRDefault="009735AD" w:rsidP="009735AD">
      <w:pPr>
        <w:ind w:leftChars="400" w:left="840"/>
        <w:rPr>
          <w:sz w:val="22"/>
        </w:rPr>
      </w:pPr>
      <w:r w:rsidRPr="00C40BD5">
        <w:rPr>
          <w:rFonts w:hint="eastAsia"/>
          <w:sz w:val="22"/>
        </w:rPr>
        <w:t>必要電力（</w:t>
      </w:r>
      <w:r w:rsidRPr="00C40BD5">
        <w:rPr>
          <w:rFonts w:hint="eastAsia"/>
          <w:sz w:val="22"/>
        </w:rPr>
        <w:t>kW</w:t>
      </w:r>
      <w:r w:rsidRPr="00C40BD5">
        <w:rPr>
          <w:rFonts w:hint="eastAsia"/>
          <w:sz w:val="22"/>
        </w:rPr>
        <w:t>）・必要電力量（</w:t>
      </w:r>
      <w:r w:rsidRPr="00C40BD5">
        <w:rPr>
          <w:rFonts w:hint="eastAsia"/>
          <w:sz w:val="22"/>
        </w:rPr>
        <w:t>kWh</w:t>
      </w:r>
      <w:r w:rsidRPr="00C40BD5">
        <w:rPr>
          <w:rFonts w:hint="eastAsia"/>
          <w:sz w:val="22"/>
        </w:rPr>
        <w:t>）の確保に伴い，卸電力市場への投入等ができないことによる期待利潤の逸失分</w:t>
      </w:r>
    </w:p>
    <w:p w14:paraId="11FA7681" w14:textId="77777777" w:rsidR="009735AD" w:rsidRPr="00C40BD5" w:rsidRDefault="009735AD" w:rsidP="009735AD">
      <w:pPr>
        <w:ind w:firstLineChars="300" w:firstLine="660"/>
        <w:rPr>
          <w:rFonts w:asciiTheme="minorEastAsia" w:hAnsiTheme="minorEastAsia" w:cs="メイリオ"/>
          <w:snapToGrid w:val="0"/>
          <w:sz w:val="22"/>
        </w:rPr>
      </w:pPr>
      <w:r w:rsidRPr="00C40BD5">
        <w:rPr>
          <w:rFonts w:asciiTheme="minorEastAsia" w:hAnsiTheme="minorEastAsia" w:cs="メイリオ" w:hint="eastAsia"/>
          <w:snapToGrid w:val="0"/>
          <w:sz w:val="22"/>
        </w:rPr>
        <w:t>ｂ．容量市場から支払われる対価相当額の減少分</w:t>
      </w:r>
    </w:p>
    <w:p w14:paraId="50A0EDE8" w14:textId="77777777" w:rsidR="009735AD" w:rsidRPr="00C40BD5" w:rsidRDefault="009735AD" w:rsidP="009735AD">
      <w:pPr>
        <w:ind w:leftChars="400" w:left="840"/>
        <w:rPr>
          <w:rFonts w:asciiTheme="minorEastAsia" w:hAnsiTheme="minorEastAsia" w:cs="メイリオ"/>
          <w:snapToGrid w:val="0"/>
          <w:sz w:val="22"/>
        </w:rPr>
      </w:pPr>
      <w:r w:rsidRPr="00C40BD5">
        <w:rPr>
          <w:rFonts w:asciiTheme="minorEastAsia" w:hAnsiTheme="minorEastAsia" w:cs="メイリオ" w:hint="eastAsia"/>
          <w:snapToGrid w:val="0"/>
          <w:sz w:val="22"/>
        </w:rPr>
        <w:t>必要電力（kW）・必要電力量（kWh）の確保に伴う容量市場から支払われる対価相当額の逸失分</w:t>
      </w:r>
    </w:p>
    <w:p w14:paraId="2864637C" w14:textId="77777777" w:rsidR="006148E4" w:rsidRPr="00C40BD5" w:rsidRDefault="006148E4" w:rsidP="009735AD">
      <w:pPr>
        <w:ind w:leftChars="400" w:left="840"/>
        <w:rPr>
          <w:rFonts w:asciiTheme="minorEastAsia" w:hAnsiTheme="minorEastAsia" w:cs="メイリオ"/>
          <w:snapToGrid w:val="0"/>
          <w:sz w:val="22"/>
        </w:rPr>
      </w:pPr>
    </w:p>
    <w:p w14:paraId="48D3BC37" w14:textId="27FA0789" w:rsidR="009735AD" w:rsidRPr="001C31EE" w:rsidRDefault="009735AD" w:rsidP="009735AD">
      <w:pPr>
        <w:ind w:leftChars="200" w:left="640" w:hangingChars="100" w:hanging="220"/>
        <w:rPr>
          <w:color w:val="000000" w:themeColor="text1"/>
          <w:sz w:val="22"/>
        </w:rPr>
      </w:pPr>
      <w:r w:rsidRPr="00C40BD5">
        <w:rPr>
          <w:rFonts w:hint="eastAsia"/>
          <w:sz w:val="22"/>
        </w:rPr>
        <w:t>３　甲は，契約電源等に関する２０</w:t>
      </w:r>
      <w:r w:rsidR="0090738A" w:rsidRPr="00C40BD5">
        <w:rPr>
          <w:rFonts w:hint="eastAsia"/>
          <w:sz w:val="22"/>
        </w:rPr>
        <w:t>３０</w:t>
      </w:r>
      <w:r w:rsidRPr="00C40BD5">
        <w:rPr>
          <w:rFonts w:hint="eastAsia"/>
          <w:sz w:val="22"/>
        </w:rPr>
        <w:t>年度向け容量市場への応札有無，応札内容および落札結果等の前項に定める金額を算定するにあたって必要となる</w:t>
      </w:r>
      <w:r w:rsidRPr="001C31EE">
        <w:rPr>
          <w:rFonts w:hint="eastAsia"/>
          <w:color w:val="000000" w:themeColor="text1"/>
          <w:sz w:val="22"/>
        </w:rPr>
        <w:t>情報を乙が別途定める期日までに提示するものとする。</w:t>
      </w:r>
    </w:p>
    <w:p w14:paraId="4F5D5597" w14:textId="77777777" w:rsidR="009735AD" w:rsidRPr="001C31EE" w:rsidRDefault="009735AD" w:rsidP="00603E40">
      <w:pPr>
        <w:ind w:left="708" w:hangingChars="322" w:hanging="708"/>
        <w:rPr>
          <w:color w:val="000000" w:themeColor="text1"/>
          <w:sz w:val="22"/>
        </w:rPr>
      </w:pPr>
    </w:p>
    <w:p w14:paraId="059C6B66" w14:textId="11B3371A" w:rsidR="00520F46" w:rsidRDefault="006148E4" w:rsidP="00EF51B2">
      <w:pPr>
        <w:tabs>
          <w:tab w:val="left" w:pos="851"/>
        </w:tabs>
        <w:ind w:leftChars="200" w:left="708" w:hangingChars="131" w:hanging="288"/>
        <w:rPr>
          <w:rFonts w:ascii="ＭＳ 明朝" w:hAnsi="ＭＳ 明朝" w:cs="MS-Gothic"/>
          <w:color w:val="000000" w:themeColor="text1"/>
          <w:kern w:val="0"/>
          <w:sz w:val="22"/>
        </w:rPr>
      </w:pPr>
      <w:r w:rsidRPr="001C31EE">
        <w:rPr>
          <w:rFonts w:ascii="ＭＳ 明朝" w:hAnsi="ＭＳ 明朝" w:cs="MS-Gothic" w:hint="eastAsia"/>
          <w:color w:val="000000" w:themeColor="text1"/>
          <w:kern w:val="0"/>
          <w:sz w:val="22"/>
        </w:rPr>
        <w:t>４</w:t>
      </w:r>
      <w:r w:rsidR="00520F46" w:rsidRPr="001C31EE">
        <w:rPr>
          <w:rFonts w:ascii="ＭＳ 明朝" w:hAnsi="ＭＳ 明朝" w:cs="MS-Gothic" w:hint="eastAsia"/>
          <w:color w:val="000000" w:themeColor="text1"/>
          <w:kern w:val="0"/>
          <w:sz w:val="22"/>
        </w:rPr>
        <w:t xml:space="preserve">　月間料金は第１項および前項により算出した金額を１２で除した金額（端数が生じる場合は，３月分料金で調整するものとする。）を，すべての契約電源等につき合計した金額とする。</w:t>
      </w:r>
    </w:p>
    <w:p w14:paraId="6287AE3F" w14:textId="77777777" w:rsidR="0090738A" w:rsidRDefault="0090738A" w:rsidP="00EF51B2">
      <w:pPr>
        <w:tabs>
          <w:tab w:val="left" w:pos="851"/>
        </w:tabs>
        <w:ind w:leftChars="200" w:left="708" w:hangingChars="131" w:hanging="288"/>
        <w:rPr>
          <w:rFonts w:ascii="ＭＳ 明朝" w:hAnsi="ＭＳ 明朝" w:cs="MS-Gothic"/>
          <w:color w:val="000000" w:themeColor="text1"/>
          <w:kern w:val="0"/>
          <w:sz w:val="22"/>
        </w:rPr>
      </w:pPr>
    </w:p>
    <w:p w14:paraId="3E6A4B9C" w14:textId="647609CB" w:rsidR="0090738A" w:rsidRDefault="0090738A" w:rsidP="0090738A">
      <w:pPr>
        <w:tabs>
          <w:tab w:val="left" w:pos="851"/>
        </w:tabs>
        <w:ind w:leftChars="200" w:left="708" w:hangingChars="131" w:hanging="288"/>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５</w:t>
      </w:r>
      <w:r w:rsidRPr="0090738A">
        <w:rPr>
          <w:rFonts w:ascii="ＭＳ 明朝" w:hAnsi="ＭＳ 明朝" w:cs="MS-Gothic" w:hint="eastAsia"/>
          <w:color w:val="000000" w:themeColor="text1"/>
          <w:kern w:val="0"/>
          <w:sz w:val="22"/>
        </w:rPr>
        <w:t xml:space="preserve">　必要電力（ｋＷ）もしくは必要電力量（ｋＷｈ）が変更となったとき，変更後の必要電力（ｋＷ）もしくは必要電力量（ｋＷｈ）にて基本料金の再算定の実施について協議するものとする。</w:t>
      </w:r>
    </w:p>
    <w:p w14:paraId="22E9E87A" w14:textId="77777777" w:rsidR="0090738A" w:rsidRPr="0090738A" w:rsidRDefault="0090738A" w:rsidP="0090738A">
      <w:pPr>
        <w:tabs>
          <w:tab w:val="left" w:pos="851"/>
        </w:tabs>
        <w:ind w:leftChars="200" w:left="708" w:hangingChars="131" w:hanging="288"/>
        <w:rPr>
          <w:rFonts w:ascii="ＭＳ 明朝" w:hAnsi="ＭＳ 明朝" w:cs="MS-Gothic"/>
          <w:color w:val="000000" w:themeColor="text1"/>
          <w:kern w:val="0"/>
          <w:sz w:val="22"/>
        </w:rPr>
      </w:pPr>
    </w:p>
    <w:p w14:paraId="28692ACD" w14:textId="02E400C3" w:rsidR="0090738A" w:rsidRPr="0090738A" w:rsidRDefault="0090738A" w:rsidP="0090738A">
      <w:pPr>
        <w:tabs>
          <w:tab w:val="left" w:pos="851"/>
        </w:tabs>
        <w:ind w:leftChars="200" w:left="708" w:hangingChars="131" w:hanging="288"/>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６</w:t>
      </w:r>
      <w:r w:rsidRPr="0090738A">
        <w:rPr>
          <w:rFonts w:ascii="ＭＳ 明朝" w:hAnsi="ＭＳ 明朝" w:cs="MS-Gothic" w:hint="eastAsia"/>
          <w:color w:val="000000" w:themeColor="text1"/>
          <w:kern w:val="0"/>
          <w:sz w:val="22"/>
        </w:rPr>
        <w:t xml:space="preserve">　必要電力（kW）もしくは必要電力量（kWh）が増加し，容量市場からの部分退出が必要となることに伴い，容量市場におけるペナルティ金額が発生する場合には，当該費用の負担について協議するものとする。</w:t>
      </w:r>
    </w:p>
    <w:p w14:paraId="5CD0E5B8" w14:textId="77777777" w:rsidR="00520F46" w:rsidRPr="001C31EE" w:rsidRDefault="00520F46" w:rsidP="00EF51B2">
      <w:pPr>
        <w:rPr>
          <w:color w:val="000000" w:themeColor="text1"/>
          <w:sz w:val="22"/>
        </w:rPr>
      </w:pPr>
    </w:p>
    <w:p w14:paraId="5509B07D"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（従量料金）</w:t>
      </w:r>
    </w:p>
    <w:p w14:paraId="6FC493C8"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第１３条　ブラックスタート機能の提供に伴う電力供給に係る料金（従量料金）は，起動時の所内電力量増分費用，他発電所への所内電力の供給に係る費用等にもとづき，別途甲乙協議により決定した金額とする。</w:t>
      </w:r>
    </w:p>
    <w:p w14:paraId="636660D5" w14:textId="77777777" w:rsidR="00520F46" w:rsidRDefault="00520F46" w:rsidP="00EF51B2">
      <w:pPr>
        <w:ind w:left="660" w:hangingChars="300" w:hanging="660"/>
        <w:rPr>
          <w:color w:val="000000" w:themeColor="text1"/>
          <w:sz w:val="22"/>
        </w:rPr>
      </w:pPr>
    </w:p>
    <w:p w14:paraId="421FE590" w14:textId="77777777" w:rsidR="000A6BCC" w:rsidRDefault="000A6BCC" w:rsidP="00EF51B2">
      <w:pPr>
        <w:ind w:left="660" w:hangingChars="300" w:hanging="660"/>
        <w:rPr>
          <w:color w:val="000000" w:themeColor="text1"/>
          <w:sz w:val="22"/>
        </w:rPr>
      </w:pPr>
    </w:p>
    <w:p w14:paraId="645514BA" w14:textId="77777777" w:rsidR="000A6BCC" w:rsidRPr="001C31EE" w:rsidRDefault="000A6BCC" w:rsidP="00EF51B2">
      <w:pPr>
        <w:ind w:left="660" w:hangingChars="300" w:hanging="660"/>
        <w:rPr>
          <w:color w:val="000000" w:themeColor="text1"/>
          <w:sz w:val="22"/>
        </w:rPr>
      </w:pPr>
    </w:p>
    <w:p w14:paraId="699DAAE9"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lastRenderedPageBreak/>
        <w:t>（料金の支払い）</w:t>
      </w:r>
    </w:p>
    <w:p w14:paraId="60B29D2F"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第１４条　乙は，本契約第１１条にもとづく各料金について，原則として，以下の期日までに，甲に通知し，乙が各料金の通知のために発行する仕入明細書を「適格請求書等保存方式」における適格請求書等とする。なお，乙による通知日の翌日から起算して５日以内に甲から記載内容の誤り等に関する連絡がない場合，当該適格請求書等の記載内容に同意したものとみなす。</w:t>
      </w:r>
      <w:r w:rsidRPr="001C31EE">
        <w:rPr>
          <w:color w:val="000000" w:themeColor="text1"/>
          <w:sz w:val="22"/>
        </w:rPr>
        <w:br/>
      </w:r>
      <w:r w:rsidRPr="001C31EE">
        <w:rPr>
          <w:rFonts w:hint="eastAsia"/>
          <w:color w:val="000000" w:themeColor="text1"/>
          <w:sz w:val="22"/>
        </w:rPr>
        <w:t xml:space="preserve">　（１）月間料金</w:t>
      </w:r>
    </w:p>
    <w:p w14:paraId="3F450D89"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料金算定期間の翌月１５日</w:t>
      </w:r>
    </w:p>
    <w:p w14:paraId="5725051A"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（２）従量料金</w:t>
      </w:r>
    </w:p>
    <w:p w14:paraId="4241A976"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料金算定期間の翌々月１５日</w:t>
      </w:r>
    </w:p>
    <w:p w14:paraId="6C0EE6BC"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甲は，月間料金に本契約第２３条に定める消費税等相当額および事業税相当額を加算した金額（ただし，事業税相当額は，甲の事業税に収入割を含む場合で，乙の事業税の課税標準とすべき収入金額の算定にあたり，地方税法の規定により乙の収入とすべき金額の総額から乙が甲に料金として支払うべき金額に相当する金額が控除される場合に限り加算するものとする。以下同じ。）を，前項にもとづく通知日の翌日から起算して６日以内に請求書により乙に請求し，乙は同月末日（ただし，当該日が金融機関の休業日の場合はその直前の休業日でない日）までに甲に支払うものとする。ただし，甲の請求書による請求が前項にもとづく通知日の翌日から起算して６日以内に行われなかった場合は，その遅延した日数分に応じて支払期限日も延長されるものとする。なお，当該日が金融機関の休業日の場合はその直前の休業日でない日を延長後の支払期限日とする。</w:t>
      </w:r>
    </w:p>
    <w:p w14:paraId="12B6B675"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３　甲は，従量料金に本契約第２３条で定める消費税等相当額および事業税相当額を加算した金額を，第１項にもとづく通知日の翌日から起算して６日以内に請求書により乙に請求するものとし，乙は同月末日（ただし，当該日が金融機関の休業日の場合はその直前の休業日でない日）までに甲に支払うものとする。ただし，甲の請求書による請求が第１項にもとづく通知日の翌日から起算して６日以内に行われなかった場合は，その遅延した日数分に応じて支払期限日も延長されるものとする。なお，当該日が金融機関の休業日の場合はその直前の休業日でない日を延長後の支払期限日とする。</w:t>
      </w:r>
    </w:p>
    <w:p w14:paraId="0682593C"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４　乙は，前二項の支払いを支払期限日までに行わなかった場合，支払期限日の翌日以降支払いの日まで，当該不払額（消費税相当額および事業税相当額は含まない。）に対して，年１０パーセント（閏年の日を含む期間についても，３６５日あたりの割合とする。）の延滞利息を甲に支払うものとする。</w:t>
      </w:r>
    </w:p>
    <w:p w14:paraId="51A60526"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５　本契約第１１条にもとづく各料金が不適当と認められる場合，乙は速やかに各料金の再算定および甲への通知を行うものとし，再算定後の各料金と既精算額との差額に関する仕入明細書の発行は，該当する料金算定期間の月間料金または従量料金の単位で行うものとする。なお，当該差額の通知日の翌日から起算して５日以内に甲から記載内容の誤り等に関する連絡がない場合，当該適格請求書等の記載内容に同意したものとみなす。</w:t>
      </w:r>
    </w:p>
    <w:p w14:paraId="69205F0A" w14:textId="77777777" w:rsidR="00520F46" w:rsidRDefault="00520F46" w:rsidP="00EF51B2">
      <w:pPr>
        <w:rPr>
          <w:color w:val="000000" w:themeColor="text1"/>
          <w:sz w:val="22"/>
        </w:rPr>
      </w:pPr>
    </w:p>
    <w:p w14:paraId="0A0AB2FF" w14:textId="77777777" w:rsidR="000A6BCC" w:rsidRPr="001C31EE" w:rsidRDefault="000A6BCC" w:rsidP="00EF51B2">
      <w:pPr>
        <w:rPr>
          <w:color w:val="000000" w:themeColor="text1"/>
          <w:sz w:val="22"/>
        </w:rPr>
      </w:pPr>
    </w:p>
    <w:p w14:paraId="19EAF37A"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lastRenderedPageBreak/>
        <w:t>（契約の有効期間およびブラックスタート機能の提供期間）</w:t>
      </w:r>
    </w:p>
    <w:p w14:paraId="658B57ED" w14:textId="2576F177" w:rsidR="00520F46" w:rsidRPr="00C40BD5" w:rsidRDefault="00520F46" w:rsidP="00BC68C1">
      <w:pPr>
        <w:ind w:left="660" w:hangingChars="300" w:hanging="660"/>
        <w:rPr>
          <w:sz w:val="22"/>
        </w:rPr>
      </w:pPr>
      <w:r w:rsidRPr="001C31EE">
        <w:rPr>
          <w:rFonts w:hint="eastAsia"/>
          <w:color w:val="000000" w:themeColor="text1"/>
          <w:sz w:val="22"/>
        </w:rPr>
        <w:t>第１５</w:t>
      </w:r>
      <w:r w:rsidRPr="00C40BD5">
        <w:rPr>
          <w:rFonts w:hint="eastAsia"/>
          <w:sz w:val="22"/>
        </w:rPr>
        <w:t>条　本契約にもとづく甲から乙へのブラックスタート機能の提供期間は２０</w:t>
      </w:r>
      <w:r w:rsidR="000A6BCC" w:rsidRPr="00C40BD5">
        <w:rPr>
          <w:rFonts w:hint="eastAsia"/>
          <w:sz w:val="22"/>
        </w:rPr>
        <w:t>３０</w:t>
      </w:r>
      <w:r w:rsidRPr="00C40BD5">
        <w:rPr>
          <w:rFonts w:hint="eastAsia"/>
          <w:sz w:val="22"/>
        </w:rPr>
        <w:t>年</w:t>
      </w:r>
      <w:r w:rsidR="00D71F7A" w:rsidRPr="00C40BD5">
        <w:rPr>
          <w:rFonts w:hint="eastAsia"/>
          <w:sz w:val="22"/>
        </w:rPr>
        <w:t xml:space="preserve">　</w:t>
      </w:r>
      <w:r w:rsidRPr="00C40BD5">
        <w:rPr>
          <w:rFonts w:hint="eastAsia"/>
          <w:sz w:val="22"/>
        </w:rPr>
        <w:t>４月１日から２０</w:t>
      </w:r>
      <w:r w:rsidR="00190334" w:rsidRPr="00C40BD5">
        <w:rPr>
          <w:rFonts w:hint="eastAsia"/>
          <w:sz w:val="22"/>
        </w:rPr>
        <w:t>３</w:t>
      </w:r>
      <w:r w:rsidR="000A6BCC" w:rsidRPr="00C40BD5">
        <w:rPr>
          <w:rFonts w:hint="eastAsia"/>
          <w:sz w:val="22"/>
        </w:rPr>
        <w:t>１</w:t>
      </w:r>
      <w:r w:rsidRPr="00C40BD5">
        <w:rPr>
          <w:rFonts w:hint="eastAsia"/>
          <w:sz w:val="22"/>
        </w:rPr>
        <w:t>年３月３１日までとする。</w:t>
      </w:r>
    </w:p>
    <w:p w14:paraId="2DB8F950" w14:textId="77777777" w:rsidR="00520F46" w:rsidRPr="00C40BD5" w:rsidRDefault="00520F46" w:rsidP="000A6BCC">
      <w:pPr>
        <w:ind w:leftChars="202" w:left="657" w:hangingChars="106" w:hanging="233"/>
        <w:rPr>
          <w:sz w:val="22"/>
        </w:rPr>
      </w:pPr>
      <w:r w:rsidRPr="00C40BD5">
        <w:rPr>
          <w:rFonts w:hint="eastAsia"/>
          <w:sz w:val="22"/>
        </w:rPr>
        <w:t>２　本契約の有効期間は，契約締結の日から本契約にもとづくすべての債務の履行が完了した日までとする。</w:t>
      </w:r>
    </w:p>
    <w:p w14:paraId="61444911" w14:textId="77777777" w:rsidR="006148E4" w:rsidRPr="00C40BD5" w:rsidRDefault="006148E4" w:rsidP="00EF51B2">
      <w:pPr>
        <w:rPr>
          <w:rFonts w:asciiTheme="majorEastAsia" w:eastAsiaTheme="majorEastAsia" w:hAnsiTheme="majorEastAsia"/>
          <w:sz w:val="22"/>
        </w:rPr>
      </w:pPr>
    </w:p>
    <w:p w14:paraId="5E4942C3" w14:textId="77777777" w:rsidR="00520F46" w:rsidRPr="00C40BD5" w:rsidRDefault="00520F46" w:rsidP="00EF51B2">
      <w:pPr>
        <w:rPr>
          <w:rFonts w:asciiTheme="majorEastAsia" w:eastAsiaTheme="majorEastAsia" w:hAnsiTheme="majorEastAsia"/>
          <w:sz w:val="22"/>
        </w:rPr>
      </w:pPr>
      <w:r w:rsidRPr="00C40BD5">
        <w:rPr>
          <w:rFonts w:asciiTheme="majorEastAsia" w:eastAsiaTheme="majorEastAsia" w:hAnsiTheme="majorEastAsia" w:hint="eastAsia"/>
          <w:sz w:val="22"/>
        </w:rPr>
        <w:t>（合意による解約）</w:t>
      </w:r>
    </w:p>
    <w:p w14:paraId="3B93294D" w14:textId="77777777" w:rsidR="00520F46" w:rsidRPr="001C31EE" w:rsidRDefault="00520F46" w:rsidP="00EF51B2">
      <w:pPr>
        <w:ind w:left="660" w:hangingChars="300" w:hanging="660"/>
        <w:rPr>
          <w:color w:val="000000" w:themeColor="text1"/>
          <w:sz w:val="22"/>
        </w:rPr>
      </w:pPr>
      <w:r w:rsidRPr="00C40BD5">
        <w:rPr>
          <w:rFonts w:hint="eastAsia"/>
          <w:sz w:val="22"/>
        </w:rPr>
        <w:t>第１６条　甲または乙がやむを得ない事由により本</w:t>
      </w:r>
      <w:r w:rsidRPr="001C31EE">
        <w:rPr>
          <w:rFonts w:hint="eastAsia"/>
          <w:color w:val="000000" w:themeColor="text1"/>
          <w:sz w:val="22"/>
        </w:rPr>
        <w:t>契約の全部または一部の解約を希望する場合で，あらかじめ書面をもって相手方にその旨を申し出て，相手方と誠意をもって協議し合意が得られたときは，本契約の全部または一部を解約することができるものとする。</w:t>
      </w:r>
    </w:p>
    <w:p w14:paraId="17A44F7C" w14:textId="77777777" w:rsidR="00520F46" w:rsidRPr="001C31EE" w:rsidRDefault="00520F46" w:rsidP="00EF51B2">
      <w:pPr>
        <w:ind w:left="440" w:hangingChars="200" w:hanging="440"/>
        <w:rPr>
          <w:color w:val="000000" w:themeColor="text1"/>
          <w:sz w:val="22"/>
        </w:rPr>
      </w:pPr>
    </w:p>
    <w:p w14:paraId="1589F9BA" w14:textId="77777777" w:rsidR="00520F46" w:rsidRPr="001C31EE" w:rsidRDefault="00520F46" w:rsidP="00EF51B2">
      <w:pPr>
        <w:ind w:left="440" w:hangingChars="200" w:hanging="440"/>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（契約の解除）</w:t>
      </w:r>
    </w:p>
    <w:p w14:paraId="693E1874"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第１７条　甲および乙は，相手方が本契約に定める義務を履行しない場合，相手方に対して，書面をもってその履行を催告し，その後１０日を経過しても相手方が当該義務を履行しなかったときには，本契約を解除することができるものとする。</w:t>
      </w:r>
    </w:p>
    <w:p w14:paraId="0E3D09B6"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甲および乙は，相手方が次の各号のいずれかに該当した場合は，相手方に対し書面により通知して，本契約をただちに解除することができるものとする。</w:t>
      </w:r>
    </w:p>
    <w:p w14:paraId="56AA505A" w14:textId="77777777" w:rsidR="00520F46" w:rsidRPr="001C31EE" w:rsidRDefault="00520F46" w:rsidP="00EF51B2">
      <w:pPr>
        <w:ind w:leftChars="266" w:left="999" w:hangingChars="200" w:hanging="440"/>
        <w:rPr>
          <w:color w:val="000000" w:themeColor="text1"/>
          <w:sz w:val="22"/>
        </w:rPr>
      </w:pPr>
      <w:r w:rsidRPr="001C31EE">
        <w:rPr>
          <w:rFonts w:hint="eastAsia"/>
          <w:color w:val="000000" w:themeColor="text1"/>
          <w:sz w:val="22"/>
        </w:rPr>
        <w:t>（１）支払停止もしくは支払不能の状態に陥った場合，または手形交換所から警告もしくは不渡処分を受けた場合</w:t>
      </w:r>
    </w:p>
    <w:p w14:paraId="5ED9603D" w14:textId="77777777" w:rsidR="00520F46" w:rsidRPr="001C31EE" w:rsidRDefault="00520F46" w:rsidP="00EF51B2">
      <w:pPr>
        <w:ind w:leftChars="266" w:left="999" w:hangingChars="200" w:hanging="440"/>
        <w:rPr>
          <w:color w:val="000000" w:themeColor="text1"/>
          <w:sz w:val="22"/>
        </w:rPr>
      </w:pPr>
      <w:r w:rsidRPr="001C31EE">
        <w:rPr>
          <w:rFonts w:hint="eastAsia"/>
          <w:color w:val="000000" w:themeColor="text1"/>
          <w:sz w:val="22"/>
        </w:rPr>
        <w:t>（２）破産手続，民事再生手続，会社更生手続，特別清算もしくはその他の倒産関連法令にもとづく手続（以下総称して「倒産手続」という。）開始の申立てを受け，または自ら倒産手続の申立てをし，もしくは解散の決議を行った場合</w:t>
      </w:r>
    </w:p>
    <w:p w14:paraId="544DF24E" w14:textId="77777777" w:rsidR="00520F46" w:rsidRPr="001C31EE" w:rsidRDefault="00520F46" w:rsidP="00EF51B2">
      <w:pPr>
        <w:ind w:leftChars="266" w:left="999" w:hangingChars="200" w:hanging="440"/>
        <w:rPr>
          <w:color w:val="000000" w:themeColor="text1"/>
          <w:sz w:val="22"/>
        </w:rPr>
      </w:pPr>
      <w:r w:rsidRPr="001C31EE">
        <w:rPr>
          <w:rFonts w:hint="eastAsia"/>
          <w:color w:val="000000" w:themeColor="text1"/>
          <w:sz w:val="22"/>
        </w:rPr>
        <w:t>（３）本契約における重大な義務違反があった場合</w:t>
      </w:r>
    </w:p>
    <w:p w14:paraId="4D5574A0"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３　乙は，甲が故意または重過失によりブラックスタート機能の全部または一部の提供を停止した場合は，本契約をただちに解除することができるものとする。</w:t>
      </w:r>
    </w:p>
    <w:p w14:paraId="6267F33E" w14:textId="77777777" w:rsidR="00520F46" w:rsidRPr="001C31EE" w:rsidRDefault="00520F46" w:rsidP="00EF51B2">
      <w:pPr>
        <w:rPr>
          <w:color w:val="000000" w:themeColor="text1"/>
          <w:sz w:val="22"/>
        </w:rPr>
      </w:pPr>
    </w:p>
    <w:p w14:paraId="48EB788D"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（解約または解除に伴う補償）</w:t>
      </w:r>
    </w:p>
    <w:p w14:paraId="0C7C89B3"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第１８条　本契約の解約または解除において，その責に帰すべき者の相手方に損害が発生する場合は，その責に帰すべき者は解約または解除により生ずる相手方の損害を賠償しなければならないものとする。</w:t>
      </w:r>
    </w:p>
    <w:p w14:paraId="20BB4EA7" w14:textId="77777777" w:rsidR="00520F46" w:rsidRPr="001C31EE" w:rsidRDefault="00520F46" w:rsidP="00EF51B2">
      <w:pPr>
        <w:ind w:left="660" w:hangingChars="300" w:hanging="660"/>
        <w:rPr>
          <w:color w:val="000000" w:themeColor="text1"/>
          <w:sz w:val="22"/>
        </w:rPr>
      </w:pPr>
    </w:p>
    <w:p w14:paraId="4CC5201A"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（自己都合による解約または解除に伴う費用の申し受け）</w:t>
      </w:r>
    </w:p>
    <w:p w14:paraId="416D7191"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第１９条　甲の都合によって本契約を解約または解除することとなった場合は，前条にかかわらず，乙は，代替手段を確保するために要した費用の実費の負担を甲に求めることができるものとし，甲は，これに応じるものとする。</w:t>
      </w:r>
    </w:p>
    <w:p w14:paraId="1EAAA5A3" w14:textId="77777777" w:rsidR="00520F46" w:rsidRPr="001C31EE" w:rsidRDefault="00520F46" w:rsidP="00EF51B2">
      <w:pPr>
        <w:ind w:left="660" w:hangingChars="300" w:hanging="660"/>
        <w:rPr>
          <w:color w:val="000000" w:themeColor="text1"/>
          <w:sz w:val="22"/>
        </w:rPr>
      </w:pPr>
    </w:p>
    <w:p w14:paraId="13A12F84"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（契約の承継）</w:t>
      </w:r>
    </w:p>
    <w:p w14:paraId="29A89181"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第２０条　甲が第三者と合併し，またはその事業の全部もしくは本契約に関係のある部分を第三者に譲渡するときは，あらかじめ乙に書面によりその旨を通知し，乙の承認を受</w:t>
      </w:r>
      <w:r w:rsidRPr="001C31EE">
        <w:rPr>
          <w:rFonts w:hint="eastAsia"/>
          <w:color w:val="000000" w:themeColor="text1"/>
          <w:sz w:val="22"/>
        </w:rPr>
        <w:lastRenderedPageBreak/>
        <w:t>けたうえで，本契約をその承継者に承継させるものとする。</w:t>
      </w:r>
    </w:p>
    <w:p w14:paraId="42E2BE55" w14:textId="77777777" w:rsidR="00520F46" w:rsidRPr="001C31EE" w:rsidRDefault="00520F46" w:rsidP="00EF51B2">
      <w:pPr>
        <w:ind w:left="660" w:hangingChars="300" w:hanging="660"/>
        <w:rPr>
          <w:color w:val="000000" w:themeColor="text1"/>
          <w:sz w:val="22"/>
        </w:rPr>
      </w:pPr>
    </w:p>
    <w:p w14:paraId="289CDBED" w14:textId="77777777" w:rsidR="00B70F37" w:rsidRPr="001C31EE" w:rsidRDefault="00B70F37" w:rsidP="00B70F37">
      <w:pPr>
        <w:ind w:left="660" w:hangingChars="300" w:hanging="660"/>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（反社会的勢力の排除）</w:t>
      </w:r>
    </w:p>
    <w:p w14:paraId="24ADD4A9" w14:textId="60D18458" w:rsidR="00B70F37" w:rsidRPr="001C31EE" w:rsidRDefault="00B70F37" w:rsidP="00B70F37">
      <w:pPr>
        <w:ind w:left="660" w:hangingChars="300" w:hanging="660"/>
        <w:rPr>
          <w:color w:val="000000" w:themeColor="text1"/>
          <w:sz w:val="22"/>
        </w:rPr>
      </w:pPr>
      <w:r w:rsidRPr="001C31EE">
        <w:rPr>
          <w:rFonts w:hint="eastAsia"/>
          <w:color w:val="000000" w:themeColor="text1"/>
          <w:sz w:val="22"/>
        </w:rPr>
        <w:t>第２１条　甲および乙は，相手方が反社会的勢力（暴力団，暴力団員，暴力団員でなくなった時から５年を経過しない者，暴力団準構成員，暴力団関係企業，総会屋等，社会運動等標ぼうゴロ，特殊知能暴力集団，その他これらに準ずる者をいう。以下同じ。）に該当し，または反社会的勢力と次の各号のいずれかに定める関係を有することが判明した場合は，ただちに本契約を解除することができるものとする。</w:t>
      </w:r>
    </w:p>
    <w:p w14:paraId="3BC42EC3" w14:textId="77777777" w:rsidR="00B70F37" w:rsidRPr="001C31EE" w:rsidRDefault="00B70F37" w:rsidP="00B70F37">
      <w:pPr>
        <w:ind w:firstLineChars="300" w:firstLine="660"/>
        <w:rPr>
          <w:color w:val="000000" w:themeColor="text1"/>
          <w:sz w:val="22"/>
        </w:rPr>
      </w:pPr>
      <w:r w:rsidRPr="001C31EE">
        <w:rPr>
          <w:rFonts w:hint="eastAsia"/>
          <w:color w:val="000000" w:themeColor="text1"/>
          <w:sz w:val="22"/>
        </w:rPr>
        <w:t>（１）反社会的勢力が経営を支配していると認められるとき</w:t>
      </w:r>
    </w:p>
    <w:p w14:paraId="7042C0BC" w14:textId="77777777" w:rsidR="00B70F37" w:rsidRPr="001C31EE" w:rsidRDefault="00B70F37" w:rsidP="00B70F37">
      <w:pPr>
        <w:ind w:firstLineChars="300" w:firstLine="660"/>
        <w:rPr>
          <w:color w:val="000000" w:themeColor="text1"/>
          <w:sz w:val="22"/>
        </w:rPr>
      </w:pPr>
      <w:r w:rsidRPr="001C31EE">
        <w:rPr>
          <w:rFonts w:hint="eastAsia"/>
          <w:color w:val="000000" w:themeColor="text1"/>
          <w:sz w:val="22"/>
        </w:rPr>
        <w:t>（２）反社会的勢力が経営に実質的に関与していると認められるとき</w:t>
      </w:r>
    </w:p>
    <w:p w14:paraId="4BE8DA97" w14:textId="77777777" w:rsidR="00B70F37" w:rsidRPr="001C31EE" w:rsidRDefault="00B70F37" w:rsidP="00B70F37">
      <w:pPr>
        <w:ind w:leftChars="271" w:left="1009" w:hangingChars="200" w:hanging="440"/>
        <w:rPr>
          <w:color w:val="000000" w:themeColor="text1"/>
          <w:sz w:val="22"/>
        </w:rPr>
      </w:pPr>
      <w:r w:rsidRPr="001C31EE">
        <w:rPr>
          <w:rFonts w:hint="eastAsia"/>
          <w:color w:val="000000" w:themeColor="text1"/>
          <w:sz w:val="22"/>
        </w:rPr>
        <w:t>（３）自己もしくは第三者の不正の利益を図り，または第三者に損害を加える等，反社会的勢力を利用していると認められるとき（乙の託送供給等業務および電気最終保障供給業務を除く。）</w:t>
      </w:r>
    </w:p>
    <w:p w14:paraId="3F16BB15" w14:textId="77777777" w:rsidR="00B70F37" w:rsidRPr="001C31EE" w:rsidRDefault="00B70F37" w:rsidP="00B70F37">
      <w:pPr>
        <w:ind w:leftChars="300" w:left="1070" w:hangingChars="200" w:hanging="440"/>
        <w:rPr>
          <w:color w:val="000000" w:themeColor="text1"/>
          <w:sz w:val="22"/>
        </w:rPr>
      </w:pPr>
      <w:r w:rsidRPr="001C31EE">
        <w:rPr>
          <w:rFonts w:hint="eastAsia"/>
          <w:color w:val="000000" w:themeColor="text1"/>
          <w:sz w:val="22"/>
        </w:rPr>
        <w:t>（４）反社会的勢力に対して資金等を提供し，または便宜を供与する等の関与をしていると認められるとき</w:t>
      </w:r>
    </w:p>
    <w:p w14:paraId="6613E181" w14:textId="77777777" w:rsidR="00B70F37" w:rsidRPr="001C31EE" w:rsidRDefault="00B70F37" w:rsidP="00B70F37">
      <w:pPr>
        <w:ind w:leftChars="300" w:left="1070" w:hangingChars="200" w:hanging="440"/>
        <w:rPr>
          <w:color w:val="000000" w:themeColor="text1"/>
          <w:sz w:val="22"/>
        </w:rPr>
      </w:pPr>
      <w:r w:rsidRPr="001C31EE">
        <w:rPr>
          <w:rFonts w:hint="eastAsia"/>
          <w:color w:val="000000" w:themeColor="text1"/>
          <w:sz w:val="22"/>
        </w:rPr>
        <w:t>（５）その他役員等または経営に実質的に関与している者が，反社会的勢力と社会的に非難されるべき関係を有しているとき</w:t>
      </w:r>
    </w:p>
    <w:p w14:paraId="23BEF9A4" w14:textId="77777777" w:rsidR="00B70F37" w:rsidRPr="001C31EE" w:rsidRDefault="00B70F37" w:rsidP="00B70F37">
      <w:pPr>
        <w:ind w:leftChars="200" w:left="640" w:hangingChars="100" w:hanging="220"/>
        <w:rPr>
          <w:color w:val="000000" w:themeColor="text1"/>
          <w:sz w:val="22"/>
        </w:rPr>
      </w:pPr>
      <w:r w:rsidRPr="001C31EE">
        <w:rPr>
          <w:rFonts w:hint="eastAsia"/>
          <w:color w:val="000000" w:themeColor="text1"/>
          <w:sz w:val="22"/>
        </w:rPr>
        <w:t>２　甲および乙は，相手方が自らまたは第三者を利用して，次の各号のいずれかに定める行為をした場合は，ただちに本契約を解除することができるものとする。</w:t>
      </w:r>
    </w:p>
    <w:p w14:paraId="707BD201" w14:textId="77777777" w:rsidR="00B70F37" w:rsidRPr="001C31EE" w:rsidRDefault="00B70F37" w:rsidP="00B70F37">
      <w:pPr>
        <w:ind w:firstLineChars="300" w:firstLine="660"/>
        <w:rPr>
          <w:color w:val="000000" w:themeColor="text1"/>
          <w:sz w:val="22"/>
        </w:rPr>
      </w:pPr>
      <w:r w:rsidRPr="001C31EE">
        <w:rPr>
          <w:rFonts w:hint="eastAsia"/>
          <w:color w:val="000000" w:themeColor="text1"/>
          <w:sz w:val="22"/>
        </w:rPr>
        <w:t>（１）暴力的な要求行為</w:t>
      </w:r>
    </w:p>
    <w:p w14:paraId="593470DD" w14:textId="77777777" w:rsidR="00B70F37" w:rsidRPr="001C31EE" w:rsidRDefault="00B70F37" w:rsidP="00B70F37">
      <w:pPr>
        <w:ind w:firstLineChars="300" w:firstLine="660"/>
        <w:rPr>
          <w:color w:val="000000" w:themeColor="text1"/>
          <w:sz w:val="22"/>
        </w:rPr>
      </w:pPr>
      <w:r w:rsidRPr="001C31EE">
        <w:rPr>
          <w:rFonts w:hint="eastAsia"/>
          <w:color w:val="000000" w:themeColor="text1"/>
          <w:sz w:val="22"/>
        </w:rPr>
        <w:t>（２）法的な責任を超えた不当な要求行為</w:t>
      </w:r>
    </w:p>
    <w:p w14:paraId="4BDABBE8" w14:textId="77777777" w:rsidR="00B70F37" w:rsidRPr="001C31EE" w:rsidRDefault="00B70F37" w:rsidP="00B70F37">
      <w:pPr>
        <w:ind w:firstLineChars="300" w:firstLine="660"/>
        <w:rPr>
          <w:color w:val="000000" w:themeColor="text1"/>
          <w:sz w:val="22"/>
        </w:rPr>
      </w:pPr>
      <w:r w:rsidRPr="001C31EE">
        <w:rPr>
          <w:rFonts w:hint="eastAsia"/>
          <w:color w:val="000000" w:themeColor="text1"/>
          <w:sz w:val="22"/>
        </w:rPr>
        <w:t>（３）取引に関して脅迫的な言動をし，または暴力を用いる行為</w:t>
      </w:r>
    </w:p>
    <w:p w14:paraId="21678328" w14:textId="77777777" w:rsidR="00B70F37" w:rsidRPr="001C31EE" w:rsidRDefault="00B70F37" w:rsidP="00B70F37">
      <w:pPr>
        <w:ind w:leftChars="271" w:left="1009" w:hangingChars="200" w:hanging="440"/>
        <w:rPr>
          <w:color w:val="000000" w:themeColor="text1"/>
          <w:sz w:val="22"/>
        </w:rPr>
      </w:pPr>
      <w:r w:rsidRPr="001C31EE">
        <w:rPr>
          <w:rFonts w:hint="eastAsia"/>
          <w:color w:val="000000" w:themeColor="text1"/>
          <w:sz w:val="22"/>
        </w:rPr>
        <w:t>（４）風説を流布し，偽計または威力を用いて相手方の信用を毀損し，または相手方の業務を妨害する行為</w:t>
      </w:r>
    </w:p>
    <w:p w14:paraId="1B1F6123" w14:textId="77777777" w:rsidR="00B70F37" w:rsidRPr="001C31EE" w:rsidRDefault="00B70F37" w:rsidP="00B70F37">
      <w:pPr>
        <w:ind w:firstLineChars="300" w:firstLine="660"/>
        <w:rPr>
          <w:color w:val="000000" w:themeColor="text1"/>
          <w:sz w:val="22"/>
        </w:rPr>
      </w:pPr>
      <w:r w:rsidRPr="001C31EE">
        <w:rPr>
          <w:rFonts w:hint="eastAsia"/>
          <w:color w:val="000000" w:themeColor="text1"/>
          <w:sz w:val="22"/>
        </w:rPr>
        <w:t>（５）その他前各号に準ずる行為</w:t>
      </w:r>
    </w:p>
    <w:p w14:paraId="1DDE39C2" w14:textId="77777777" w:rsidR="00B70F37" w:rsidRPr="001C31EE" w:rsidRDefault="00B70F37" w:rsidP="006148E4">
      <w:pPr>
        <w:tabs>
          <w:tab w:val="left" w:pos="360"/>
        </w:tabs>
        <w:ind w:firstLineChars="193" w:firstLine="425"/>
        <w:rPr>
          <w:color w:val="000000" w:themeColor="text1"/>
          <w:sz w:val="22"/>
        </w:rPr>
      </w:pPr>
      <w:r w:rsidRPr="001C31EE">
        <w:rPr>
          <w:rFonts w:hint="eastAsia"/>
          <w:color w:val="000000" w:themeColor="text1"/>
          <w:sz w:val="22"/>
        </w:rPr>
        <w:t>３　甲および乙は，自己が将来にわたり前二項に該当しないことを表明・確約する。</w:t>
      </w:r>
    </w:p>
    <w:p w14:paraId="715A8A3C" w14:textId="77777777" w:rsidR="00B70F37" w:rsidRPr="001C31EE" w:rsidRDefault="00B70F37" w:rsidP="00B70F37">
      <w:pPr>
        <w:ind w:leftChars="200" w:left="640" w:hangingChars="100" w:hanging="220"/>
        <w:rPr>
          <w:color w:val="000000" w:themeColor="text1"/>
          <w:sz w:val="22"/>
        </w:rPr>
      </w:pPr>
      <w:r w:rsidRPr="001C31EE">
        <w:rPr>
          <w:rFonts w:hint="eastAsia"/>
          <w:color w:val="000000" w:themeColor="text1"/>
          <w:sz w:val="22"/>
        </w:rPr>
        <w:t>４　甲および乙は，自己が反社会的勢力から不当要求または業務妨害等の不当介入を受けた場合は，これを拒否し，不当介入があった時点で，速やかに不当介入の事実を相手方に報告し，相手方の捜査機関への通報に必要な協力を行うものとする。</w:t>
      </w:r>
    </w:p>
    <w:p w14:paraId="397619EE" w14:textId="77777777" w:rsidR="00B70F37" w:rsidRPr="001C31EE" w:rsidRDefault="00B70F37" w:rsidP="00B70F37">
      <w:pPr>
        <w:ind w:leftChars="200" w:left="640" w:hangingChars="100" w:hanging="220"/>
        <w:rPr>
          <w:color w:val="000000" w:themeColor="text1"/>
          <w:sz w:val="22"/>
        </w:rPr>
      </w:pPr>
      <w:r w:rsidRPr="001C31EE">
        <w:rPr>
          <w:rFonts w:hint="eastAsia"/>
          <w:color w:val="000000" w:themeColor="text1"/>
          <w:sz w:val="22"/>
        </w:rPr>
        <w:t>５　甲または乙が前項の規定に違反した場合は，相手方は，ただちに本契約を解除することができるものとする。</w:t>
      </w:r>
    </w:p>
    <w:p w14:paraId="02CD9C4D" w14:textId="77777777" w:rsidR="00B70F37" w:rsidRPr="001C31EE" w:rsidRDefault="00B70F37" w:rsidP="00B70F37">
      <w:pPr>
        <w:ind w:leftChars="200" w:left="640" w:hangingChars="100" w:hanging="220"/>
        <w:rPr>
          <w:color w:val="000000" w:themeColor="text1"/>
          <w:sz w:val="22"/>
        </w:rPr>
      </w:pPr>
      <w:r w:rsidRPr="001C31EE">
        <w:rPr>
          <w:rFonts w:hint="eastAsia"/>
          <w:color w:val="000000" w:themeColor="text1"/>
          <w:sz w:val="22"/>
        </w:rPr>
        <w:t>６　甲または乙が本条第１項，第２項または前項の規定により本契約を解除した場合，相手方は，解除により甲または乙に生ずる損害を賠償するものとする。なお，この場合，相手方は，解除により自己に生ずる損害の賠償を甲または乙に請求することができないものとする。</w:t>
      </w:r>
    </w:p>
    <w:p w14:paraId="2FCD0C79" w14:textId="77777777" w:rsidR="00520F46" w:rsidRPr="001C31EE" w:rsidRDefault="00520F46" w:rsidP="00EF51B2">
      <w:pPr>
        <w:ind w:leftChars="200" w:left="640" w:hangingChars="100" w:hanging="220"/>
        <w:rPr>
          <w:color w:val="000000" w:themeColor="text1"/>
          <w:sz w:val="22"/>
        </w:rPr>
      </w:pPr>
    </w:p>
    <w:p w14:paraId="68644835"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（損害賠償）</w:t>
      </w:r>
    </w:p>
    <w:p w14:paraId="6A3319AE"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第２２条　甲または乙が，本契約に伴い，相手方もしくは第三者に対し，自らの責に帰すべき事由により損害を与えた場合，甲または乙はその賠償の責を負うものとする。</w:t>
      </w:r>
    </w:p>
    <w:p w14:paraId="456D0ECA" w14:textId="77777777" w:rsidR="00520F46" w:rsidRPr="001C31EE" w:rsidRDefault="00520F46" w:rsidP="00EF51B2">
      <w:pPr>
        <w:ind w:left="660" w:hangingChars="300" w:hanging="660"/>
        <w:rPr>
          <w:rFonts w:asciiTheme="majorEastAsia" w:eastAsiaTheme="majorEastAsia" w:hAnsiTheme="majorEastAsia"/>
          <w:color w:val="000000" w:themeColor="text1"/>
          <w:sz w:val="22"/>
        </w:rPr>
      </w:pPr>
    </w:p>
    <w:p w14:paraId="03DD286A" w14:textId="77777777" w:rsidR="00520F46" w:rsidRPr="001C31EE" w:rsidRDefault="00520F46" w:rsidP="00EF51B2">
      <w:pPr>
        <w:ind w:left="660" w:hangingChars="300" w:hanging="660"/>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lastRenderedPageBreak/>
        <w:t>（消費税等相当額および事業税相当額）</w:t>
      </w:r>
    </w:p>
    <w:p w14:paraId="5664137E"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第２３条　本契約において消費税等相当額とは，消費税法の規定により課される消費税および地方税法上の規定により課される地方消費税に相当する金額をいい，本契約において事業税相当額とは，地方税法および特別法人事業税及び特別法人事業譲与税に関する法律の規定により課される事業税のうち収入割に相当する金額をいう。適用する事業税率は，ブラックスタート機能の提供期間開始までに，直近事業年度の実効税率等にもとづき，甲乙協議により決定する。</w:t>
      </w:r>
    </w:p>
    <w:p w14:paraId="584CB053" w14:textId="77777777" w:rsidR="00520F46" w:rsidRPr="001C31EE" w:rsidRDefault="00520F46" w:rsidP="00BC68C1">
      <w:pPr>
        <w:ind w:leftChars="200" w:left="640" w:hangingChars="100" w:hanging="220"/>
        <w:rPr>
          <w:color w:val="000000" w:themeColor="text1"/>
          <w:sz w:val="22"/>
        </w:rPr>
      </w:pPr>
      <w:r w:rsidRPr="001C31EE">
        <w:rPr>
          <w:rFonts w:hint="eastAsia"/>
          <w:color w:val="000000" w:themeColor="text1"/>
          <w:sz w:val="22"/>
        </w:rPr>
        <w:t>２　消費税等相当額の計算にあたっては，本契約第１２条に定める月間料金および本契約第１３条により定める従量料金に前項に定める事業税相当額を加算し，合計した金額を課税標準とする。</w:t>
      </w:r>
    </w:p>
    <w:p w14:paraId="11153B0B" w14:textId="77777777" w:rsidR="00520F46" w:rsidRPr="001C31EE" w:rsidRDefault="00520F46" w:rsidP="00BC68C1">
      <w:pPr>
        <w:rPr>
          <w:color w:val="000000" w:themeColor="text1"/>
          <w:sz w:val="22"/>
        </w:rPr>
      </w:pPr>
    </w:p>
    <w:p w14:paraId="2DAB65C6"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（単位および端数処理）</w:t>
      </w:r>
    </w:p>
    <w:p w14:paraId="236C307A"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第２４条　本契約において，料金の計算における金額の単位は１円とし，その端数は切り捨てるものとする。ただし，前条で定めた消費税等相当額および事業税を加算して授受する場合は，消費税および事業税が課される金額，消費税等相当額および事業税相当額の単位はそれぞれ１円とし，その端数はそれぞれ切り捨てるものとする。</w:t>
      </w:r>
    </w:p>
    <w:p w14:paraId="088C801B" w14:textId="77777777" w:rsidR="00520F46" w:rsidRPr="001C31EE" w:rsidRDefault="00520F46" w:rsidP="00EF51B2">
      <w:pPr>
        <w:rPr>
          <w:color w:val="000000" w:themeColor="text1"/>
          <w:sz w:val="22"/>
        </w:rPr>
      </w:pPr>
    </w:p>
    <w:p w14:paraId="111B3FBD" w14:textId="77777777" w:rsidR="00520F46" w:rsidRPr="001C31EE" w:rsidRDefault="00520F46" w:rsidP="00EF51B2">
      <w:pPr>
        <w:ind w:left="660" w:hangingChars="300" w:hanging="660"/>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（運用細目）</w:t>
      </w:r>
    </w:p>
    <w:p w14:paraId="5D68E46A"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第２５条　本契約の運用上必要な細目については，別途甲乙間で定めるものとする。</w:t>
      </w:r>
    </w:p>
    <w:p w14:paraId="1E1B613F" w14:textId="77777777" w:rsidR="00520F46" w:rsidRPr="001C31EE" w:rsidRDefault="00520F46" w:rsidP="00EF51B2">
      <w:pPr>
        <w:ind w:left="660" w:hangingChars="300" w:hanging="660"/>
        <w:rPr>
          <w:color w:val="000000" w:themeColor="text1"/>
          <w:sz w:val="22"/>
        </w:rPr>
      </w:pPr>
    </w:p>
    <w:p w14:paraId="1B6E6483" w14:textId="77777777" w:rsidR="00520F46" w:rsidRPr="001C31EE" w:rsidRDefault="00520F46" w:rsidP="00EF51B2">
      <w:pPr>
        <w:ind w:left="660" w:hangingChars="300" w:hanging="660"/>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（合意管轄および準拠法）</w:t>
      </w:r>
    </w:p>
    <w:p w14:paraId="7512B906"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第２６条　本契約に関する訴訟については，名古屋地方裁判所を第一審の専属的合意管轄とする。</w:t>
      </w:r>
    </w:p>
    <w:p w14:paraId="6A51074D"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本契約は，すべて日本法に従って解釈され，法律上の効力が与えられるものとする。</w:t>
      </w:r>
    </w:p>
    <w:p w14:paraId="4191F302" w14:textId="77777777" w:rsidR="00520F46" w:rsidRPr="001C31EE" w:rsidRDefault="00520F46" w:rsidP="00EF51B2">
      <w:pPr>
        <w:rPr>
          <w:color w:val="000000" w:themeColor="text1"/>
          <w:sz w:val="22"/>
        </w:rPr>
      </w:pPr>
    </w:p>
    <w:p w14:paraId="17246BFF"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（秘密保持義務）</w:t>
      </w:r>
    </w:p>
    <w:p w14:paraId="6B4FC810"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第２７条　甲および乙は，本契約の内容ならびに本契約の締結および履行に際して知り得た相手方の情報について，本契約の有効期間中はもとより，有効期間満了または解除等による終了後においても，第三者に対して開示してはならないものとする。ただし，あらかじめ相手方の承諾を得た場合または電気事業法および関係法令にもとづく監督官庁等の要請に対して当該監督官庁等に提示する場合は，この限りでない。</w:t>
      </w:r>
    </w:p>
    <w:p w14:paraId="6EBAF104"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２　前項の相手方の情報には，次の各号のいずれかに該当するものは，含まれないものとする。</w:t>
      </w:r>
    </w:p>
    <w:p w14:paraId="14BD132D"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（１）本契約の締結前から既に自ら保有していたもの</w:t>
      </w:r>
    </w:p>
    <w:p w14:paraId="34956E67"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（２）本契約の締結後に自らの責めによらず公知となったもの</w:t>
      </w:r>
    </w:p>
    <w:p w14:paraId="63B94314"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（３）正当な権限を有する第三者より秘密保持の義務なく入手したもの</w:t>
      </w:r>
    </w:p>
    <w:p w14:paraId="554F320D" w14:textId="77777777" w:rsidR="00520F46" w:rsidRPr="001C31EE" w:rsidRDefault="00520F46" w:rsidP="00EF51B2">
      <w:pPr>
        <w:ind w:left="660" w:hangingChars="300" w:hanging="660"/>
        <w:rPr>
          <w:color w:val="000000" w:themeColor="text1"/>
          <w:sz w:val="22"/>
        </w:rPr>
      </w:pPr>
      <w:r w:rsidRPr="001C31EE">
        <w:rPr>
          <w:rFonts w:hint="eastAsia"/>
          <w:color w:val="000000" w:themeColor="text1"/>
          <w:sz w:val="22"/>
        </w:rPr>
        <w:t xml:space="preserve">　　　（４）相手方の情報を使用もしくは参照することなく独自に開発したもの</w:t>
      </w:r>
    </w:p>
    <w:p w14:paraId="5A400A1E" w14:textId="77777777" w:rsidR="00520F46" w:rsidRPr="001C31EE" w:rsidRDefault="00520F46" w:rsidP="00EF51B2">
      <w:pPr>
        <w:rPr>
          <w:color w:val="000000" w:themeColor="text1"/>
          <w:sz w:val="22"/>
        </w:rPr>
      </w:pPr>
    </w:p>
    <w:p w14:paraId="65D1023A" w14:textId="77777777" w:rsidR="00520F46" w:rsidRPr="001C31EE" w:rsidRDefault="00520F46" w:rsidP="00EF51B2">
      <w:pPr>
        <w:rPr>
          <w:rFonts w:asciiTheme="majorEastAsia" w:eastAsiaTheme="majorEastAsia" w:hAnsiTheme="majorEastAsia"/>
          <w:color w:val="000000" w:themeColor="text1"/>
          <w:sz w:val="22"/>
        </w:rPr>
      </w:pPr>
      <w:r w:rsidRPr="001C31EE">
        <w:rPr>
          <w:rFonts w:asciiTheme="majorEastAsia" w:eastAsiaTheme="majorEastAsia" w:hAnsiTheme="majorEastAsia" w:hint="eastAsia"/>
          <w:color w:val="000000" w:themeColor="text1"/>
          <w:sz w:val="22"/>
        </w:rPr>
        <w:t>（協議事項）</w:t>
      </w:r>
    </w:p>
    <w:p w14:paraId="1E4F6967" w14:textId="7D7D1584" w:rsidR="00520F46" w:rsidRPr="001C31EE" w:rsidRDefault="00520F46" w:rsidP="00EF51B2">
      <w:pPr>
        <w:ind w:left="660" w:hangingChars="300" w:hanging="660"/>
        <w:rPr>
          <w:color w:val="000000" w:themeColor="text1"/>
          <w:sz w:val="22"/>
        </w:rPr>
      </w:pPr>
      <w:r w:rsidRPr="001C31EE">
        <w:rPr>
          <w:rFonts w:hint="eastAsia"/>
          <w:color w:val="000000" w:themeColor="text1"/>
          <w:sz w:val="22"/>
        </w:rPr>
        <w:t>第２８条　本契約に定めのない事項については，</w:t>
      </w:r>
      <w:r w:rsidR="00B70F37" w:rsidRPr="001C31EE">
        <w:rPr>
          <w:rFonts w:hint="eastAsia"/>
          <w:color w:val="000000" w:themeColor="text1"/>
          <w:sz w:val="22"/>
        </w:rPr>
        <w:t>募集要項</w:t>
      </w:r>
      <w:r w:rsidRPr="001C31EE">
        <w:rPr>
          <w:rFonts w:hint="eastAsia"/>
          <w:color w:val="000000" w:themeColor="text1"/>
          <w:sz w:val="22"/>
        </w:rPr>
        <w:t>，乙の託送供給等約款，系統運用</w:t>
      </w:r>
      <w:r w:rsidRPr="001C31EE">
        <w:rPr>
          <w:rFonts w:hint="eastAsia"/>
          <w:color w:val="000000" w:themeColor="text1"/>
          <w:sz w:val="22"/>
        </w:rPr>
        <w:lastRenderedPageBreak/>
        <w:t>ルールおよび本契約に付帯して交換する申合書等（以下「本契約等」という。）によるものとする。</w:t>
      </w:r>
    </w:p>
    <w:p w14:paraId="678B5155" w14:textId="77777777" w:rsidR="00520F46" w:rsidRPr="001C31EE" w:rsidRDefault="00520F46" w:rsidP="00EF51B2">
      <w:pPr>
        <w:ind w:leftChars="200" w:left="640" w:hangingChars="100" w:hanging="220"/>
        <w:rPr>
          <w:color w:val="000000" w:themeColor="text1"/>
          <w:sz w:val="22"/>
        </w:rPr>
      </w:pPr>
      <w:r w:rsidRPr="001C31EE">
        <w:rPr>
          <w:rFonts w:hint="eastAsia"/>
          <w:color w:val="000000" w:themeColor="text1"/>
          <w:sz w:val="22"/>
        </w:rPr>
        <w:t>２　本契約等により難い特別な事項については，その都度甲乙誠意をもって協議のうえ定めるものとする。</w:t>
      </w:r>
    </w:p>
    <w:p w14:paraId="66BC1D91" w14:textId="77777777" w:rsidR="00520F46" w:rsidRPr="001C31EE" w:rsidRDefault="00520F46" w:rsidP="00EF51B2">
      <w:pPr>
        <w:ind w:leftChars="200" w:left="640" w:hangingChars="100" w:hanging="220"/>
        <w:rPr>
          <w:color w:val="000000" w:themeColor="text1"/>
          <w:sz w:val="22"/>
        </w:rPr>
      </w:pPr>
    </w:p>
    <w:p w14:paraId="59C72EE6" w14:textId="77777777" w:rsidR="00520F46" w:rsidRPr="001C31EE" w:rsidRDefault="00520F46" w:rsidP="00EF51B2">
      <w:pPr>
        <w:ind w:leftChars="200" w:left="640" w:hangingChars="100" w:hanging="220"/>
        <w:rPr>
          <w:color w:val="000000" w:themeColor="text1"/>
          <w:sz w:val="22"/>
        </w:rPr>
      </w:pPr>
    </w:p>
    <w:p w14:paraId="495F049F" w14:textId="77777777" w:rsidR="00520F46" w:rsidRPr="001C31EE" w:rsidRDefault="00520F46" w:rsidP="00EF51B2">
      <w:pPr>
        <w:ind w:firstLineChars="100" w:firstLine="220"/>
        <w:rPr>
          <w:color w:val="000000" w:themeColor="text1"/>
          <w:sz w:val="22"/>
        </w:rPr>
      </w:pPr>
      <w:r w:rsidRPr="001C31EE">
        <w:rPr>
          <w:rFonts w:hint="eastAsia"/>
          <w:color w:val="000000" w:themeColor="text1"/>
          <w:sz w:val="22"/>
        </w:rPr>
        <w:t>以上，本契約締結の証として，本書２通を作成し，甲乙双方記名押印のうえ，各自その１通を保有する。</w:t>
      </w:r>
    </w:p>
    <w:p w14:paraId="5D412426" w14:textId="77777777" w:rsidR="00520F46" w:rsidRPr="001C31EE" w:rsidRDefault="00520F46" w:rsidP="00EF51B2">
      <w:pPr>
        <w:ind w:firstLineChars="100" w:firstLine="220"/>
        <w:rPr>
          <w:color w:val="000000" w:themeColor="text1"/>
          <w:sz w:val="22"/>
        </w:rPr>
      </w:pPr>
    </w:p>
    <w:p w14:paraId="27149E39" w14:textId="77777777" w:rsidR="00520F46" w:rsidRPr="001C31EE" w:rsidRDefault="00520F46" w:rsidP="00EF51B2">
      <w:pPr>
        <w:ind w:firstLineChars="100" w:firstLine="220"/>
        <w:rPr>
          <w:color w:val="000000" w:themeColor="text1"/>
          <w:sz w:val="22"/>
        </w:rPr>
      </w:pPr>
    </w:p>
    <w:p w14:paraId="5D06B112" w14:textId="0395E808" w:rsidR="00520F46" w:rsidRPr="001C31EE" w:rsidRDefault="000A6BCC" w:rsidP="00EF51B2">
      <w:pPr>
        <w:jc w:val="left"/>
        <w:rPr>
          <w:color w:val="000000" w:themeColor="text1"/>
          <w:sz w:val="22"/>
        </w:rPr>
      </w:pPr>
      <w:r>
        <w:rPr>
          <w:rFonts w:hint="eastAsia"/>
          <w:color w:val="000000" w:themeColor="text1"/>
          <w:sz w:val="22"/>
        </w:rPr>
        <w:t>〇〇〇〇</w:t>
      </w:r>
      <w:r w:rsidR="00520F46" w:rsidRPr="001C31EE">
        <w:rPr>
          <w:rFonts w:hint="eastAsia"/>
          <w:color w:val="000000" w:themeColor="text1"/>
          <w:sz w:val="22"/>
        </w:rPr>
        <w:t>年</w:t>
      </w:r>
      <w:r>
        <w:rPr>
          <w:rFonts w:hint="eastAsia"/>
          <w:color w:val="000000" w:themeColor="text1"/>
          <w:sz w:val="22"/>
        </w:rPr>
        <w:t>〇</w:t>
      </w:r>
      <w:r w:rsidR="00520F46" w:rsidRPr="001C31EE">
        <w:rPr>
          <w:rFonts w:hint="eastAsia"/>
          <w:color w:val="000000" w:themeColor="text1"/>
          <w:sz w:val="22"/>
        </w:rPr>
        <w:t>月○○日</w:t>
      </w:r>
    </w:p>
    <w:tbl>
      <w:tblPr>
        <w:tblW w:w="4680" w:type="dxa"/>
        <w:tblInd w:w="3985" w:type="dxa"/>
        <w:tblLook w:val="0000" w:firstRow="0" w:lastRow="0" w:firstColumn="0" w:lastColumn="0" w:noHBand="0" w:noVBand="0"/>
      </w:tblPr>
      <w:tblGrid>
        <w:gridCol w:w="472"/>
        <w:gridCol w:w="2408"/>
        <w:gridCol w:w="1800"/>
      </w:tblGrid>
      <w:tr w:rsidR="001C31EE" w:rsidRPr="001C31EE" w14:paraId="08BB6C6E" w14:textId="77777777" w:rsidTr="00B362A9">
        <w:trPr>
          <w:trHeight w:val="548"/>
        </w:trPr>
        <w:tc>
          <w:tcPr>
            <w:tcW w:w="472" w:type="dxa"/>
            <w:vAlign w:val="center"/>
          </w:tcPr>
          <w:p w14:paraId="64C3DA80" w14:textId="77777777" w:rsidR="00520F46" w:rsidRPr="001C31EE" w:rsidRDefault="00520F46" w:rsidP="00EF51B2">
            <w:pPr>
              <w:ind w:leftChars="-127" w:left="-267" w:rightChars="-40" w:right="-84"/>
              <w:jc w:val="center"/>
              <w:rPr>
                <w:rFonts w:ascii="Century Gothic" w:hAnsi="Century Gothic"/>
                <w:color w:val="000000" w:themeColor="text1"/>
                <w:sz w:val="22"/>
              </w:rPr>
            </w:pPr>
          </w:p>
          <w:p w14:paraId="48A24DF8" w14:textId="77777777" w:rsidR="00520F46" w:rsidRPr="001C31EE" w:rsidRDefault="00520F46" w:rsidP="00EF51B2">
            <w:pPr>
              <w:ind w:leftChars="-127" w:left="-267" w:rightChars="-40" w:right="-84"/>
              <w:jc w:val="center"/>
              <w:rPr>
                <w:rFonts w:ascii="Century Gothic" w:hAnsi="Century Gothic"/>
                <w:color w:val="000000" w:themeColor="text1"/>
                <w:sz w:val="22"/>
              </w:rPr>
            </w:pPr>
            <w:r w:rsidRPr="001C31EE">
              <w:rPr>
                <w:rFonts w:ascii="Century Gothic" w:hAnsi="Century Gothic" w:hint="eastAsia"/>
                <w:color w:val="000000" w:themeColor="text1"/>
                <w:sz w:val="22"/>
              </w:rPr>
              <w:t>甲</w:t>
            </w:r>
          </w:p>
        </w:tc>
        <w:tc>
          <w:tcPr>
            <w:tcW w:w="4208" w:type="dxa"/>
            <w:gridSpan w:val="2"/>
            <w:vAlign w:val="center"/>
          </w:tcPr>
          <w:p w14:paraId="15960B66" w14:textId="77777777" w:rsidR="00520F46" w:rsidRPr="001C31EE" w:rsidRDefault="00520F46" w:rsidP="00EF51B2">
            <w:pPr>
              <w:ind w:rightChars="-40" w:right="-84"/>
              <w:rPr>
                <w:rFonts w:ascii="Century Gothic" w:hAnsi="Century Gothic"/>
                <w:color w:val="000000" w:themeColor="text1"/>
                <w:sz w:val="22"/>
              </w:rPr>
            </w:pPr>
            <w:r w:rsidRPr="001C31EE">
              <w:rPr>
                <w:rFonts w:ascii="Century Gothic" w:hAnsi="Century Gothic" w:hint="eastAsia"/>
                <w:color w:val="000000" w:themeColor="text1"/>
                <w:sz w:val="22"/>
              </w:rPr>
              <w:t>〇〇県○○市○○町○○番</w:t>
            </w:r>
          </w:p>
          <w:p w14:paraId="383FF589" w14:textId="77777777" w:rsidR="00520F46" w:rsidRPr="001C31EE" w:rsidRDefault="00520F46" w:rsidP="00EF51B2">
            <w:pPr>
              <w:ind w:rightChars="-40" w:right="-84" w:firstLineChars="100" w:firstLine="220"/>
              <w:rPr>
                <w:rFonts w:ascii="Century Gothic" w:hAnsi="Century Gothic"/>
                <w:color w:val="000000" w:themeColor="text1"/>
                <w:sz w:val="22"/>
              </w:rPr>
            </w:pPr>
            <w:r w:rsidRPr="001C31EE">
              <w:rPr>
                <w:rFonts w:ascii="Century Gothic" w:hAnsi="Century Gothic" w:hint="eastAsia"/>
                <w:color w:val="000000" w:themeColor="text1"/>
                <w:sz w:val="22"/>
              </w:rPr>
              <w:t>○○株式会社</w:t>
            </w:r>
          </w:p>
        </w:tc>
      </w:tr>
      <w:tr w:rsidR="001C31EE" w:rsidRPr="001C31EE" w14:paraId="4BCAC965" w14:textId="77777777" w:rsidTr="00B362A9">
        <w:trPr>
          <w:trHeight w:val="76"/>
        </w:trPr>
        <w:tc>
          <w:tcPr>
            <w:tcW w:w="472" w:type="dxa"/>
            <w:vAlign w:val="center"/>
          </w:tcPr>
          <w:p w14:paraId="193B5B68" w14:textId="77777777" w:rsidR="00520F46" w:rsidRPr="001C31EE" w:rsidRDefault="00520F46" w:rsidP="00EF51B2">
            <w:pPr>
              <w:ind w:rightChars="-40" w:right="-84"/>
              <w:jc w:val="center"/>
              <w:rPr>
                <w:rFonts w:ascii="Century Gothic" w:hAnsi="Century Gothic"/>
                <w:color w:val="000000" w:themeColor="text1"/>
                <w:sz w:val="22"/>
              </w:rPr>
            </w:pPr>
          </w:p>
        </w:tc>
        <w:tc>
          <w:tcPr>
            <w:tcW w:w="2408" w:type="dxa"/>
            <w:vAlign w:val="center"/>
          </w:tcPr>
          <w:p w14:paraId="152E550A" w14:textId="77777777" w:rsidR="00520F46" w:rsidRPr="001C31EE" w:rsidRDefault="00520F46" w:rsidP="00EF51B2">
            <w:pPr>
              <w:ind w:rightChars="-40" w:right="-84" w:firstLineChars="250" w:firstLine="550"/>
              <w:rPr>
                <w:rFonts w:ascii="Century Gothic" w:hAnsi="Century Gothic"/>
                <w:color w:val="000000" w:themeColor="text1"/>
                <w:sz w:val="22"/>
              </w:rPr>
            </w:pPr>
            <w:r w:rsidRPr="001C31EE">
              <w:rPr>
                <w:rFonts w:ascii="Century Gothic" w:hAnsi="Century Gothic" w:hint="eastAsia"/>
                <w:color w:val="000000" w:themeColor="text1"/>
                <w:sz w:val="22"/>
              </w:rPr>
              <w:t>取締役社長</w:t>
            </w:r>
          </w:p>
        </w:tc>
        <w:tc>
          <w:tcPr>
            <w:tcW w:w="1800" w:type="dxa"/>
            <w:vAlign w:val="center"/>
          </w:tcPr>
          <w:p w14:paraId="2D811336" w14:textId="77777777" w:rsidR="00520F46" w:rsidRPr="001C31EE" w:rsidRDefault="00520F46" w:rsidP="00EF51B2">
            <w:pPr>
              <w:ind w:rightChars="-40" w:right="-84"/>
              <w:rPr>
                <w:rFonts w:ascii="Century Gothic" w:hAnsi="Century Gothic"/>
                <w:color w:val="000000" w:themeColor="text1"/>
                <w:sz w:val="22"/>
              </w:rPr>
            </w:pPr>
            <w:r w:rsidRPr="001C31EE">
              <w:rPr>
                <w:rFonts w:ascii="Century Gothic" w:hAnsi="Century Gothic" w:hint="eastAsia"/>
                <w:color w:val="000000" w:themeColor="text1"/>
                <w:sz w:val="22"/>
              </w:rPr>
              <w:t>〇〇　○○</w:t>
            </w:r>
          </w:p>
        </w:tc>
      </w:tr>
      <w:tr w:rsidR="001C31EE" w:rsidRPr="001C31EE" w14:paraId="7B57BD20" w14:textId="77777777" w:rsidTr="00B362A9">
        <w:trPr>
          <w:trHeight w:val="539"/>
        </w:trPr>
        <w:tc>
          <w:tcPr>
            <w:tcW w:w="472" w:type="dxa"/>
            <w:vMerge w:val="restart"/>
            <w:vAlign w:val="center"/>
          </w:tcPr>
          <w:p w14:paraId="3D9D0C2C" w14:textId="77777777" w:rsidR="00520F46" w:rsidRPr="001C31EE" w:rsidRDefault="00520F46" w:rsidP="00EF51B2">
            <w:pPr>
              <w:ind w:leftChars="-127" w:left="-267" w:rightChars="-40" w:right="-84"/>
              <w:jc w:val="center"/>
              <w:rPr>
                <w:rFonts w:ascii="Century Gothic" w:hAnsi="Century Gothic"/>
                <w:color w:val="000000" w:themeColor="text1"/>
                <w:sz w:val="22"/>
              </w:rPr>
            </w:pPr>
            <w:r w:rsidRPr="001C31EE">
              <w:rPr>
                <w:rFonts w:ascii="Century Gothic" w:hAnsi="Century Gothic" w:hint="eastAsia"/>
                <w:color w:val="000000" w:themeColor="text1"/>
                <w:sz w:val="22"/>
              </w:rPr>
              <w:t>乙</w:t>
            </w:r>
          </w:p>
          <w:p w14:paraId="4CE8BDB7" w14:textId="77777777" w:rsidR="00520F46" w:rsidRPr="001C31EE" w:rsidRDefault="00520F46" w:rsidP="00EF51B2">
            <w:pPr>
              <w:ind w:rightChars="-40" w:right="-84"/>
              <w:jc w:val="center"/>
              <w:rPr>
                <w:rFonts w:ascii="Century Gothic" w:hAnsi="Century Gothic"/>
                <w:color w:val="000000" w:themeColor="text1"/>
                <w:sz w:val="22"/>
              </w:rPr>
            </w:pPr>
          </w:p>
        </w:tc>
        <w:tc>
          <w:tcPr>
            <w:tcW w:w="4208" w:type="dxa"/>
            <w:gridSpan w:val="2"/>
            <w:vAlign w:val="center"/>
          </w:tcPr>
          <w:p w14:paraId="17C2E522" w14:textId="77777777" w:rsidR="00520F46" w:rsidRPr="001C31EE" w:rsidRDefault="00520F46" w:rsidP="00EF51B2">
            <w:pPr>
              <w:ind w:rightChars="-40" w:right="-84"/>
              <w:rPr>
                <w:rFonts w:ascii="Century Gothic" w:hAnsi="Century Gothic"/>
                <w:color w:val="000000" w:themeColor="text1"/>
                <w:sz w:val="22"/>
              </w:rPr>
            </w:pPr>
            <w:r w:rsidRPr="001C31EE">
              <w:rPr>
                <w:rFonts w:ascii="Century Gothic" w:hAnsi="Century Gothic" w:hint="eastAsia"/>
                <w:color w:val="000000" w:themeColor="text1"/>
                <w:sz w:val="22"/>
              </w:rPr>
              <w:t>愛知県名古屋市東区東新町１番地</w:t>
            </w:r>
          </w:p>
          <w:p w14:paraId="2ADD000D" w14:textId="77777777" w:rsidR="00520F46" w:rsidRPr="001C31EE" w:rsidRDefault="00520F46" w:rsidP="00EF51B2">
            <w:pPr>
              <w:ind w:rightChars="-40" w:right="-84" w:firstLineChars="100" w:firstLine="220"/>
              <w:rPr>
                <w:rFonts w:ascii="Century Gothic" w:hAnsi="Century Gothic"/>
                <w:color w:val="000000" w:themeColor="text1"/>
                <w:sz w:val="22"/>
              </w:rPr>
            </w:pPr>
            <w:r w:rsidRPr="001C31EE">
              <w:rPr>
                <w:rFonts w:ascii="Century Gothic" w:hAnsi="Century Gothic" w:hint="eastAsia"/>
                <w:color w:val="000000" w:themeColor="text1"/>
                <w:sz w:val="22"/>
              </w:rPr>
              <w:t>中部電力パワーグリッド株式会社</w:t>
            </w:r>
          </w:p>
        </w:tc>
      </w:tr>
      <w:tr w:rsidR="001C31EE" w:rsidRPr="001C31EE" w14:paraId="4DBAA97B" w14:textId="77777777" w:rsidTr="00B362A9">
        <w:trPr>
          <w:trHeight w:val="536"/>
        </w:trPr>
        <w:tc>
          <w:tcPr>
            <w:tcW w:w="472" w:type="dxa"/>
            <w:vMerge/>
            <w:vAlign w:val="center"/>
          </w:tcPr>
          <w:p w14:paraId="6FFF5C9F" w14:textId="77777777" w:rsidR="00520F46" w:rsidRPr="001C31EE" w:rsidRDefault="00520F46" w:rsidP="00EF51B2">
            <w:pPr>
              <w:overflowPunct w:val="0"/>
              <w:autoSpaceDE w:val="0"/>
              <w:autoSpaceDN w:val="0"/>
              <w:ind w:leftChars="200" w:left="860" w:hangingChars="200" w:hanging="440"/>
              <w:jc w:val="center"/>
              <w:outlineLvl w:val="4"/>
              <w:rPr>
                <w:rFonts w:ascii="ＭＳ 明朝" w:eastAsia="ＭＳ 明朝" w:hAnsi="Century" w:cs="Times New Roman"/>
                <w:color w:val="000000" w:themeColor="text1"/>
                <w:sz w:val="22"/>
              </w:rPr>
            </w:pPr>
          </w:p>
        </w:tc>
        <w:tc>
          <w:tcPr>
            <w:tcW w:w="2408" w:type="dxa"/>
            <w:vAlign w:val="center"/>
          </w:tcPr>
          <w:p w14:paraId="32914476" w14:textId="77777777" w:rsidR="00520F46" w:rsidRPr="001C31EE" w:rsidRDefault="00520F46" w:rsidP="00EF51B2">
            <w:pPr>
              <w:ind w:rightChars="-40" w:right="-84" w:firstLineChars="250" w:firstLine="550"/>
              <w:rPr>
                <w:rFonts w:ascii="Century Gothic" w:hAnsi="Century Gothic"/>
                <w:color w:val="000000" w:themeColor="text1"/>
                <w:sz w:val="22"/>
              </w:rPr>
            </w:pPr>
            <w:r w:rsidRPr="001C31EE">
              <w:rPr>
                <w:rFonts w:ascii="Century Gothic" w:hAnsi="Century Gothic" w:hint="eastAsia"/>
                <w:color w:val="000000" w:themeColor="text1"/>
                <w:sz w:val="22"/>
              </w:rPr>
              <w:t>代表取締役</w:t>
            </w:r>
          </w:p>
          <w:p w14:paraId="09FC30B9" w14:textId="77777777" w:rsidR="00520F46" w:rsidRPr="001C31EE" w:rsidRDefault="00520F46" w:rsidP="00EF51B2">
            <w:pPr>
              <w:ind w:rightChars="-40" w:right="-84" w:firstLineChars="212" w:firstLine="530"/>
              <w:rPr>
                <w:rFonts w:ascii="Century Gothic" w:hAnsi="Century Gothic"/>
                <w:color w:val="000000" w:themeColor="text1"/>
                <w:sz w:val="22"/>
              </w:rPr>
            </w:pPr>
            <w:r w:rsidRPr="001C31EE">
              <w:rPr>
                <w:rFonts w:ascii="Century Gothic" w:hAnsi="Century Gothic" w:hint="eastAsia"/>
                <w:color w:val="000000" w:themeColor="text1"/>
                <w:spacing w:val="15"/>
                <w:kern w:val="0"/>
                <w:sz w:val="22"/>
              </w:rPr>
              <w:t>社長執行役</w:t>
            </w:r>
            <w:r w:rsidRPr="001C31EE">
              <w:rPr>
                <w:rFonts w:ascii="Century Gothic" w:hAnsi="Century Gothic" w:hint="eastAsia"/>
                <w:color w:val="000000" w:themeColor="text1"/>
                <w:kern w:val="0"/>
                <w:sz w:val="22"/>
              </w:rPr>
              <w:t>員</w:t>
            </w:r>
          </w:p>
        </w:tc>
        <w:tc>
          <w:tcPr>
            <w:tcW w:w="1800" w:type="dxa"/>
            <w:vAlign w:val="center"/>
          </w:tcPr>
          <w:p w14:paraId="2AE5D21F" w14:textId="77777777" w:rsidR="00520F46" w:rsidRPr="001C31EE" w:rsidRDefault="00520F46" w:rsidP="00EF51B2">
            <w:pPr>
              <w:ind w:rightChars="-40" w:right="-84"/>
              <w:jc w:val="center"/>
              <w:rPr>
                <w:rFonts w:ascii="Century Gothic" w:hAnsi="Century Gothic"/>
                <w:color w:val="000000" w:themeColor="text1"/>
                <w:sz w:val="22"/>
              </w:rPr>
            </w:pPr>
            <w:r w:rsidRPr="001C31EE">
              <w:rPr>
                <w:rFonts w:ascii="Century Gothic" w:hAnsi="Century Gothic" w:hint="eastAsia"/>
                <w:color w:val="000000" w:themeColor="text1"/>
                <w:sz w:val="22"/>
              </w:rPr>
              <w:t>清水　隆一</w:t>
            </w:r>
          </w:p>
        </w:tc>
      </w:tr>
    </w:tbl>
    <w:p w14:paraId="592EFCC5" w14:textId="77777777" w:rsidR="00B07585" w:rsidRDefault="00B07585" w:rsidP="008C0C3B">
      <w:pPr>
        <w:widowControl/>
        <w:jc w:val="left"/>
        <w:rPr>
          <w:vanish/>
          <w:sz w:val="22"/>
        </w:rPr>
        <w:sectPr w:rsidR="00B07585" w:rsidSect="008C0C3B">
          <w:type w:val="continuous"/>
          <w:pgSz w:w="11906" w:h="16838" w:code="9"/>
          <w:pgMar w:top="1080" w:right="1440" w:bottom="1080" w:left="1440" w:header="851" w:footer="992" w:gutter="0"/>
          <w:cols w:space="425"/>
          <w:docGrid w:type="lines" w:linePitch="360"/>
        </w:sectPr>
      </w:pPr>
    </w:p>
    <w:tbl>
      <w:tblPr>
        <w:tblW w:w="0" w:type="auto"/>
        <w:tblCellMar>
          <w:left w:w="99" w:type="dxa"/>
          <w:right w:w="99" w:type="dxa"/>
        </w:tblCellMar>
        <w:tblLook w:val="04A0" w:firstRow="1" w:lastRow="0" w:firstColumn="1" w:lastColumn="0" w:noHBand="0" w:noVBand="1"/>
      </w:tblPr>
      <w:tblGrid>
        <w:gridCol w:w="1078"/>
        <w:gridCol w:w="2608"/>
        <w:gridCol w:w="2410"/>
        <w:gridCol w:w="1413"/>
        <w:gridCol w:w="1559"/>
        <w:gridCol w:w="1164"/>
        <w:gridCol w:w="2992"/>
        <w:gridCol w:w="2686"/>
        <w:gridCol w:w="5743"/>
      </w:tblGrid>
      <w:tr w:rsidR="00B07585" w:rsidRPr="00B07585" w14:paraId="69826355" w14:textId="77777777" w:rsidTr="00B07585">
        <w:trPr>
          <w:trHeight w:val="1002"/>
        </w:trPr>
        <w:tc>
          <w:tcPr>
            <w:tcW w:w="21653" w:type="dxa"/>
            <w:gridSpan w:val="9"/>
            <w:tcBorders>
              <w:top w:val="nil"/>
              <w:left w:val="nil"/>
              <w:bottom w:val="nil"/>
              <w:right w:val="nil"/>
            </w:tcBorders>
            <w:noWrap/>
            <w:vAlign w:val="center"/>
            <w:hideMark/>
          </w:tcPr>
          <w:p w14:paraId="39F43AD9" w14:textId="77777777" w:rsidR="00B07585" w:rsidRPr="00B07585" w:rsidRDefault="00B07585" w:rsidP="00B07585">
            <w:pPr>
              <w:widowControl/>
              <w:jc w:val="center"/>
              <w:rPr>
                <w:rFonts w:ascii="ＭＳ 明朝" w:eastAsia="ＭＳ 明朝" w:hAnsi="ＭＳ 明朝" w:cs="ＭＳ Ｐゴシック"/>
                <w:b/>
                <w:bCs/>
                <w:kern w:val="0"/>
                <w:sz w:val="52"/>
                <w:szCs w:val="52"/>
              </w:rPr>
            </w:pPr>
            <w:bookmarkStart w:id="0" w:name="RANGE!A1:I12"/>
            <w:bookmarkEnd w:id="0"/>
            <w:r w:rsidRPr="00B07585">
              <w:rPr>
                <w:rFonts w:ascii="ＭＳ 明朝" w:eastAsia="ＭＳ 明朝" w:hAnsi="ＭＳ 明朝" w:cs="ＭＳ Ｐゴシック" w:hint="eastAsia"/>
                <w:b/>
                <w:bCs/>
                <w:kern w:val="0"/>
                <w:sz w:val="52"/>
                <w:szCs w:val="52"/>
              </w:rPr>
              <w:lastRenderedPageBreak/>
              <w:t>別紙．契約電源等一覧表</w:t>
            </w:r>
          </w:p>
        </w:tc>
      </w:tr>
      <w:tr w:rsidR="00B07585" w:rsidRPr="00B07585" w14:paraId="61E90346" w14:textId="77777777" w:rsidTr="00B07585">
        <w:trPr>
          <w:trHeight w:val="612"/>
        </w:trPr>
        <w:tc>
          <w:tcPr>
            <w:tcW w:w="0" w:type="auto"/>
            <w:vMerge w:val="restart"/>
            <w:tcBorders>
              <w:top w:val="single" w:sz="8" w:space="0" w:color="auto"/>
              <w:left w:val="single" w:sz="8" w:space="0" w:color="auto"/>
              <w:bottom w:val="double" w:sz="6" w:space="0" w:color="000000"/>
              <w:right w:val="nil"/>
            </w:tcBorders>
            <w:noWrap/>
            <w:vAlign w:val="center"/>
            <w:hideMark/>
          </w:tcPr>
          <w:p w14:paraId="4A299F2D"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事業者名</w:t>
            </w:r>
          </w:p>
        </w:tc>
        <w:tc>
          <w:tcPr>
            <w:tcW w:w="5018" w:type="dxa"/>
            <w:gridSpan w:val="2"/>
            <w:tcBorders>
              <w:top w:val="single" w:sz="8" w:space="0" w:color="auto"/>
              <w:left w:val="single" w:sz="4" w:space="0" w:color="auto"/>
              <w:bottom w:val="single" w:sz="4" w:space="0" w:color="auto"/>
              <w:right w:val="single" w:sz="4" w:space="0" w:color="000000"/>
            </w:tcBorders>
            <w:noWrap/>
            <w:vAlign w:val="center"/>
            <w:hideMark/>
          </w:tcPr>
          <w:p w14:paraId="39CC5F62"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契約電源等</w:t>
            </w:r>
          </w:p>
        </w:tc>
        <w:tc>
          <w:tcPr>
            <w:tcW w:w="1413" w:type="dxa"/>
            <w:vMerge w:val="restart"/>
            <w:tcBorders>
              <w:top w:val="single" w:sz="8" w:space="0" w:color="auto"/>
              <w:left w:val="single" w:sz="4" w:space="0" w:color="auto"/>
              <w:bottom w:val="double" w:sz="6" w:space="0" w:color="000000"/>
              <w:right w:val="single" w:sz="4" w:space="0" w:color="auto"/>
            </w:tcBorders>
            <w:noWrap/>
            <w:vAlign w:val="center"/>
            <w:hideMark/>
          </w:tcPr>
          <w:p w14:paraId="70740ADD"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所在地</w:t>
            </w:r>
          </w:p>
        </w:tc>
        <w:tc>
          <w:tcPr>
            <w:tcW w:w="1559" w:type="dxa"/>
            <w:vMerge w:val="restart"/>
            <w:tcBorders>
              <w:top w:val="single" w:sz="8" w:space="0" w:color="auto"/>
              <w:left w:val="single" w:sz="4" w:space="0" w:color="auto"/>
              <w:bottom w:val="double" w:sz="6" w:space="0" w:color="000000"/>
              <w:right w:val="single" w:sz="4" w:space="0" w:color="auto"/>
            </w:tcBorders>
            <w:vAlign w:val="center"/>
            <w:hideMark/>
          </w:tcPr>
          <w:p w14:paraId="2ED1BF71"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送電端出力※</w:t>
            </w:r>
            <w:r w:rsidRPr="00B07585">
              <w:rPr>
                <w:rFonts w:ascii="ＭＳ 明朝" w:eastAsia="ＭＳ 明朝" w:hAnsi="ＭＳ 明朝" w:cs="ＭＳ Ｐゴシック" w:hint="eastAsia"/>
                <w:kern w:val="0"/>
                <w:sz w:val="22"/>
              </w:rPr>
              <w:br/>
              <w:t>(kW)</w:t>
            </w:r>
          </w:p>
        </w:tc>
        <w:tc>
          <w:tcPr>
            <w:tcW w:w="1164" w:type="dxa"/>
            <w:vMerge w:val="restart"/>
            <w:tcBorders>
              <w:top w:val="single" w:sz="8" w:space="0" w:color="auto"/>
              <w:left w:val="single" w:sz="4" w:space="0" w:color="auto"/>
              <w:bottom w:val="double" w:sz="6" w:space="0" w:color="000000"/>
              <w:right w:val="single" w:sz="4" w:space="0" w:color="auto"/>
            </w:tcBorders>
            <w:vAlign w:val="center"/>
            <w:hideMark/>
          </w:tcPr>
          <w:p w14:paraId="3FAA0EF8"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連系系統の電圧</w:t>
            </w:r>
            <w:r w:rsidRPr="00B07585">
              <w:rPr>
                <w:rFonts w:ascii="ＭＳ 明朝" w:eastAsia="ＭＳ 明朝" w:hAnsi="ＭＳ 明朝" w:cs="ＭＳ Ｐゴシック" w:hint="eastAsia"/>
                <w:kern w:val="0"/>
                <w:sz w:val="22"/>
              </w:rPr>
              <w:br/>
              <w:t>(kV)</w:t>
            </w:r>
          </w:p>
        </w:tc>
        <w:tc>
          <w:tcPr>
            <w:tcW w:w="2992" w:type="dxa"/>
            <w:vMerge w:val="restart"/>
            <w:tcBorders>
              <w:top w:val="single" w:sz="8" w:space="0" w:color="auto"/>
              <w:left w:val="single" w:sz="4" w:space="0" w:color="auto"/>
              <w:bottom w:val="double" w:sz="6" w:space="0" w:color="000000"/>
              <w:right w:val="single" w:sz="4" w:space="0" w:color="auto"/>
            </w:tcBorders>
            <w:vAlign w:val="center"/>
            <w:hideMark/>
          </w:tcPr>
          <w:p w14:paraId="7A0D0D6B"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ブラックスタート機能</w:t>
            </w:r>
          </w:p>
        </w:tc>
        <w:tc>
          <w:tcPr>
            <w:tcW w:w="2686" w:type="dxa"/>
            <w:vMerge w:val="restart"/>
            <w:tcBorders>
              <w:top w:val="single" w:sz="8" w:space="0" w:color="auto"/>
              <w:left w:val="single" w:sz="4" w:space="0" w:color="auto"/>
              <w:bottom w:val="double" w:sz="6" w:space="0" w:color="000000"/>
              <w:right w:val="single" w:sz="4" w:space="0" w:color="auto"/>
            </w:tcBorders>
            <w:vAlign w:val="center"/>
            <w:hideMark/>
          </w:tcPr>
          <w:p w14:paraId="61C8AD17"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ブラックスタート機能の提供を行う対象系統</w:t>
            </w:r>
          </w:p>
        </w:tc>
        <w:tc>
          <w:tcPr>
            <w:tcW w:w="5743" w:type="dxa"/>
            <w:vMerge w:val="restart"/>
            <w:tcBorders>
              <w:top w:val="single" w:sz="8" w:space="0" w:color="auto"/>
              <w:left w:val="single" w:sz="4" w:space="0" w:color="auto"/>
              <w:bottom w:val="double" w:sz="6" w:space="0" w:color="000000"/>
              <w:right w:val="single" w:sz="8" w:space="0" w:color="auto"/>
            </w:tcBorders>
            <w:vAlign w:val="center"/>
            <w:hideMark/>
          </w:tcPr>
          <w:p w14:paraId="6AA548DC"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受電地点</w:t>
            </w:r>
            <w:r w:rsidRPr="00B07585">
              <w:rPr>
                <w:rFonts w:ascii="ＭＳ 明朝" w:eastAsia="ＭＳ 明朝" w:hAnsi="ＭＳ 明朝" w:cs="ＭＳ Ｐゴシック" w:hint="eastAsia"/>
                <w:kern w:val="0"/>
                <w:sz w:val="22"/>
              </w:rPr>
              <w:br/>
              <w:t>（送電上の責任分界点・財産分界点）</w:t>
            </w:r>
          </w:p>
        </w:tc>
      </w:tr>
      <w:tr w:rsidR="00B07585" w:rsidRPr="00B07585" w14:paraId="5427D3F7" w14:textId="77777777" w:rsidTr="00B07585">
        <w:trPr>
          <w:trHeight w:val="990"/>
        </w:trPr>
        <w:tc>
          <w:tcPr>
            <w:tcW w:w="0" w:type="auto"/>
            <w:vMerge/>
            <w:tcBorders>
              <w:top w:val="single" w:sz="8" w:space="0" w:color="auto"/>
              <w:left w:val="single" w:sz="8" w:space="0" w:color="auto"/>
              <w:bottom w:val="double" w:sz="6" w:space="0" w:color="000000"/>
              <w:right w:val="nil"/>
            </w:tcBorders>
            <w:vAlign w:val="center"/>
            <w:hideMark/>
          </w:tcPr>
          <w:p w14:paraId="432F8F16"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08" w:type="dxa"/>
            <w:tcBorders>
              <w:top w:val="nil"/>
              <w:left w:val="single" w:sz="4" w:space="0" w:color="auto"/>
              <w:bottom w:val="double" w:sz="6" w:space="0" w:color="auto"/>
              <w:right w:val="single" w:sz="4" w:space="0" w:color="auto"/>
            </w:tcBorders>
            <w:noWrap/>
            <w:vAlign w:val="center"/>
            <w:hideMark/>
          </w:tcPr>
          <w:p w14:paraId="1291261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発電所名</w:t>
            </w:r>
          </w:p>
        </w:tc>
        <w:tc>
          <w:tcPr>
            <w:tcW w:w="2410" w:type="dxa"/>
            <w:tcBorders>
              <w:top w:val="nil"/>
              <w:left w:val="nil"/>
              <w:bottom w:val="double" w:sz="6" w:space="0" w:color="auto"/>
              <w:right w:val="single" w:sz="4" w:space="0" w:color="auto"/>
            </w:tcBorders>
            <w:noWrap/>
            <w:vAlign w:val="center"/>
            <w:hideMark/>
          </w:tcPr>
          <w:p w14:paraId="656F3E28"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号機</w:t>
            </w:r>
          </w:p>
        </w:tc>
        <w:tc>
          <w:tcPr>
            <w:tcW w:w="1413" w:type="dxa"/>
            <w:vMerge/>
            <w:tcBorders>
              <w:top w:val="single" w:sz="8" w:space="0" w:color="auto"/>
              <w:left w:val="single" w:sz="4" w:space="0" w:color="auto"/>
              <w:bottom w:val="double" w:sz="6" w:space="0" w:color="000000"/>
              <w:right w:val="single" w:sz="4" w:space="0" w:color="auto"/>
            </w:tcBorders>
            <w:vAlign w:val="center"/>
            <w:hideMark/>
          </w:tcPr>
          <w:p w14:paraId="77B083C2" w14:textId="77777777" w:rsidR="00B07585" w:rsidRPr="00B07585" w:rsidRDefault="00B07585" w:rsidP="00B07585">
            <w:pPr>
              <w:widowControl/>
              <w:jc w:val="left"/>
              <w:rPr>
                <w:rFonts w:ascii="ＭＳ 明朝" w:eastAsia="ＭＳ 明朝" w:hAnsi="ＭＳ 明朝" w:cs="ＭＳ Ｐゴシック"/>
                <w:kern w:val="0"/>
                <w:sz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9BB93A6" w14:textId="77777777" w:rsidR="00B07585" w:rsidRPr="00B07585" w:rsidRDefault="00B07585" w:rsidP="00B07585">
            <w:pPr>
              <w:widowControl/>
              <w:jc w:val="left"/>
              <w:rPr>
                <w:rFonts w:ascii="ＭＳ 明朝" w:eastAsia="ＭＳ 明朝" w:hAnsi="ＭＳ 明朝" w:cs="ＭＳ Ｐゴシック"/>
                <w:kern w:val="0"/>
                <w:sz w:val="22"/>
              </w:rPr>
            </w:pPr>
          </w:p>
        </w:tc>
        <w:tc>
          <w:tcPr>
            <w:tcW w:w="1164" w:type="dxa"/>
            <w:vMerge/>
            <w:tcBorders>
              <w:top w:val="single" w:sz="8" w:space="0" w:color="auto"/>
              <w:left w:val="single" w:sz="4" w:space="0" w:color="auto"/>
              <w:bottom w:val="double" w:sz="6" w:space="0" w:color="000000"/>
              <w:right w:val="single" w:sz="4" w:space="0" w:color="auto"/>
            </w:tcBorders>
            <w:vAlign w:val="center"/>
            <w:hideMark/>
          </w:tcPr>
          <w:p w14:paraId="3C1C2FFB"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992" w:type="dxa"/>
            <w:vMerge/>
            <w:tcBorders>
              <w:top w:val="single" w:sz="8" w:space="0" w:color="auto"/>
              <w:left w:val="single" w:sz="4" w:space="0" w:color="auto"/>
              <w:bottom w:val="double" w:sz="6" w:space="0" w:color="000000"/>
              <w:right w:val="single" w:sz="4" w:space="0" w:color="auto"/>
            </w:tcBorders>
            <w:vAlign w:val="center"/>
            <w:hideMark/>
          </w:tcPr>
          <w:p w14:paraId="20698082"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86" w:type="dxa"/>
            <w:vMerge/>
            <w:tcBorders>
              <w:top w:val="single" w:sz="8" w:space="0" w:color="auto"/>
              <w:left w:val="single" w:sz="4" w:space="0" w:color="auto"/>
              <w:bottom w:val="double" w:sz="6" w:space="0" w:color="000000"/>
              <w:right w:val="single" w:sz="4" w:space="0" w:color="auto"/>
            </w:tcBorders>
            <w:vAlign w:val="center"/>
            <w:hideMark/>
          </w:tcPr>
          <w:p w14:paraId="0A73CA48" w14:textId="77777777" w:rsidR="00B07585" w:rsidRPr="00B07585" w:rsidRDefault="00B07585" w:rsidP="00B07585">
            <w:pPr>
              <w:widowControl/>
              <w:jc w:val="left"/>
              <w:rPr>
                <w:rFonts w:ascii="ＭＳ 明朝" w:eastAsia="ＭＳ 明朝" w:hAnsi="ＭＳ 明朝" w:cs="ＭＳ Ｐゴシック"/>
                <w:kern w:val="0"/>
                <w:sz w:val="22"/>
              </w:rPr>
            </w:pPr>
          </w:p>
        </w:tc>
        <w:tc>
          <w:tcPr>
            <w:tcW w:w="5743" w:type="dxa"/>
            <w:vMerge/>
            <w:tcBorders>
              <w:top w:val="single" w:sz="8" w:space="0" w:color="auto"/>
              <w:left w:val="single" w:sz="4" w:space="0" w:color="auto"/>
              <w:bottom w:val="double" w:sz="6" w:space="0" w:color="000000"/>
              <w:right w:val="single" w:sz="8" w:space="0" w:color="auto"/>
            </w:tcBorders>
            <w:vAlign w:val="center"/>
            <w:hideMark/>
          </w:tcPr>
          <w:p w14:paraId="1723D179" w14:textId="77777777" w:rsidR="00B07585" w:rsidRPr="00B07585" w:rsidRDefault="00B07585" w:rsidP="00B07585">
            <w:pPr>
              <w:widowControl/>
              <w:jc w:val="left"/>
              <w:rPr>
                <w:rFonts w:ascii="ＭＳ 明朝" w:eastAsia="ＭＳ 明朝" w:hAnsi="ＭＳ 明朝" w:cs="ＭＳ Ｐゴシック"/>
                <w:kern w:val="0"/>
                <w:sz w:val="22"/>
              </w:rPr>
            </w:pPr>
          </w:p>
        </w:tc>
      </w:tr>
      <w:tr w:rsidR="00B07585" w:rsidRPr="00B07585" w14:paraId="41A51301" w14:textId="77777777" w:rsidTr="00B07585">
        <w:trPr>
          <w:cantSplit/>
          <w:trHeight w:val="1531"/>
        </w:trPr>
        <w:tc>
          <w:tcPr>
            <w:tcW w:w="0" w:type="auto"/>
            <w:vMerge w:val="restart"/>
            <w:tcBorders>
              <w:top w:val="nil"/>
              <w:left w:val="single" w:sz="8" w:space="0" w:color="auto"/>
              <w:bottom w:val="single" w:sz="8" w:space="0" w:color="000000"/>
              <w:right w:val="single" w:sz="4" w:space="0" w:color="auto"/>
            </w:tcBorders>
            <w:noWrap/>
            <w:textDirection w:val="tbRlV"/>
            <w:vAlign w:val="center"/>
            <w:hideMark/>
          </w:tcPr>
          <w:p w14:paraId="16FB8FBD"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08" w:type="dxa"/>
            <w:tcBorders>
              <w:top w:val="nil"/>
              <w:left w:val="nil"/>
              <w:bottom w:val="nil"/>
              <w:right w:val="single" w:sz="4" w:space="0" w:color="auto"/>
            </w:tcBorders>
            <w:noWrap/>
            <w:vAlign w:val="center"/>
            <w:hideMark/>
          </w:tcPr>
          <w:p w14:paraId="4BC5F371"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410" w:type="dxa"/>
            <w:tcBorders>
              <w:top w:val="nil"/>
              <w:left w:val="nil"/>
              <w:bottom w:val="nil"/>
              <w:right w:val="single" w:sz="4" w:space="0" w:color="auto"/>
            </w:tcBorders>
            <w:vAlign w:val="center"/>
            <w:hideMark/>
          </w:tcPr>
          <w:p w14:paraId="04190F38"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413" w:type="dxa"/>
            <w:tcBorders>
              <w:top w:val="nil"/>
              <w:left w:val="nil"/>
              <w:bottom w:val="single" w:sz="4" w:space="0" w:color="auto"/>
              <w:right w:val="single" w:sz="4" w:space="0" w:color="auto"/>
            </w:tcBorders>
            <w:vAlign w:val="center"/>
            <w:hideMark/>
          </w:tcPr>
          <w:p w14:paraId="506990AA"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559" w:type="dxa"/>
            <w:tcBorders>
              <w:top w:val="nil"/>
              <w:left w:val="nil"/>
              <w:bottom w:val="nil"/>
              <w:right w:val="single" w:sz="4" w:space="0" w:color="auto"/>
            </w:tcBorders>
            <w:noWrap/>
            <w:vAlign w:val="center"/>
            <w:hideMark/>
          </w:tcPr>
          <w:p w14:paraId="7CDFA1DF"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164" w:type="dxa"/>
            <w:tcBorders>
              <w:top w:val="nil"/>
              <w:left w:val="nil"/>
              <w:bottom w:val="nil"/>
              <w:right w:val="single" w:sz="4" w:space="0" w:color="auto"/>
            </w:tcBorders>
            <w:noWrap/>
            <w:vAlign w:val="center"/>
            <w:hideMark/>
          </w:tcPr>
          <w:p w14:paraId="2A51D93B"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992" w:type="dxa"/>
            <w:tcBorders>
              <w:top w:val="nil"/>
              <w:left w:val="nil"/>
              <w:bottom w:val="single" w:sz="4" w:space="0" w:color="auto"/>
              <w:right w:val="single" w:sz="4" w:space="0" w:color="auto"/>
            </w:tcBorders>
            <w:vAlign w:val="center"/>
            <w:hideMark/>
          </w:tcPr>
          <w:p w14:paraId="21077198"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86" w:type="dxa"/>
            <w:tcBorders>
              <w:top w:val="nil"/>
              <w:left w:val="nil"/>
              <w:bottom w:val="single" w:sz="4" w:space="0" w:color="auto"/>
              <w:right w:val="single" w:sz="4" w:space="0" w:color="auto"/>
            </w:tcBorders>
            <w:noWrap/>
            <w:vAlign w:val="center"/>
            <w:hideMark/>
          </w:tcPr>
          <w:p w14:paraId="359DA0CC"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5743" w:type="dxa"/>
            <w:tcBorders>
              <w:top w:val="nil"/>
              <w:left w:val="nil"/>
              <w:bottom w:val="nil"/>
              <w:right w:val="single" w:sz="8" w:space="0" w:color="auto"/>
            </w:tcBorders>
            <w:vAlign w:val="center"/>
            <w:hideMark/>
          </w:tcPr>
          <w:p w14:paraId="7B2E7E02"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r>
      <w:tr w:rsidR="00B07585" w:rsidRPr="00B07585" w14:paraId="12076B77" w14:textId="77777777" w:rsidTr="00B07585">
        <w:trPr>
          <w:cantSplit/>
          <w:trHeight w:val="1531"/>
        </w:trPr>
        <w:tc>
          <w:tcPr>
            <w:tcW w:w="0" w:type="auto"/>
            <w:vMerge/>
            <w:tcBorders>
              <w:top w:val="nil"/>
              <w:left w:val="single" w:sz="8" w:space="0" w:color="auto"/>
              <w:bottom w:val="single" w:sz="8" w:space="0" w:color="000000"/>
              <w:right w:val="single" w:sz="4" w:space="0" w:color="auto"/>
            </w:tcBorders>
            <w:vAlign w:val="center"/>
            <w:hideMark/>
          </w:tcPr>
          <w:p w14:paraId="74D6E600"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08" w:type="dxa"/>
            <w:tcBorders>
              <w:top w:val="single" w:sz="4" w:space="0" w:color="auto"/>
              <w:left w:val="nil"/>
              <w:bottom w:val="nil"/>
              <w:right w:val="single" w:sz="4" w:space="0" w:color="auto"/>
            </w:tcBorders>
            <w:vAlign w:val="center"/>
            <w:hideMark/>
          </w:tcPr>
          <w:p w14:paraId="734289A1"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410" w:type="dxa"/>
            <w:tcBorders>
              <w:top w:val="single" w:sz="4" w:space="0" w:color="auto"/>
              <w:left w:val="nil"/>
              <w:bottom w:val="nil"/>
              <w:right w:val="single" w:sz="4" w:space="0" w:color="auto"/>
            </w:tcBorders>
            <w:vAlign w:val="center"/>
            <w:hideMark/>
          </w:tcPr>
          <w:p w14:paraId="5AA6DA9A"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413" w:type="dxa"/>
            <w:tcBorders>
              <w:top w:val="nil"/>
              <w:left w:val="nil"/>
              <w:bottom w:val="single" w:sz="4" w:space="0" w:color="auto"/>
              <w:right w:val="single" w:sz="4" w:space="0" w:color="auto"/>
            </w:tcBorders>
            <w:vAlign w:val="center"/>
            <w:hideMark/>
          </w:tcPr>
          <w:p w14:paraId="4E1D1C30"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559" w:type="dxa"/>
            <w:tcBorders>
              <w:top w:val="single" w:sz="4" w:space="0" w:color="auto"/>
              <w:left w:val="nil"/>
              <w:bottom w:val="nil"/>
              <w:right w:val="single" w:sz="4" w:space="0" w:color="auto"/>
            </w:tcBorders>
            <w:noWrap/>
            <w:vAlign w:val="center"/>
            <w:hideMark/>
          </w:tcPr>
          <w:p w14:paraId="4DCF39E6"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164" w:type="dxa"/>
            <w:tcBorders>
              <w:top w:val="single" w:sz="4" w:space="0" w:color="auto"/>
              <w:left w:val="nil"/>
              <w:bottom w:val="nil"/>
              <w:right w:val="single" w:sz="4" w:space="0" w:color="auto"/>
            </w:tcBorders>
            <w:noWrap/>
            <w:vAlign w:val="center"/>
            <w:hideMark/>
          </w:tcPr>
          <w:p w14:paraId="21ED0BF1"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992" w:type="dxa"/>
            <w:tcBorders>
              <w:top w:val="nil"/>
              <w:left w:val="nil"/>
              <w:bottom w:val="single" w:sz="4" w:space="0" w:color="auto"/>
              <w:right w:val="single" w:sz="4" w:space="0" w:color="auto"/>
            </w:tcBorders>
            <w:vAlign w:val="center"/>
            <w:hideMark/>
          </w:tcPr>
          <w:p w14:paraId="1DEFD8CC"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86" w:type="dxa"/>
            <w:tcBorders>
              <w:top w:val="nil"/>
              <w:left w:val="nil"/>
              <w:bottom w:val="nil"/>
              <w:right w:val="single" w:sz="4" w:space="0" w:color="auto"/>
            </w:tcBorders>
            <w:noWrap/>
            <w:vAlign w:val="center"/>
            <w:hideMark/>
          </w:tcPr>
          <w:p w14:paraId="155CBF16"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5743" w:type="dxa"/>
            <w:tcBorders>
              <w:top w:val="single" w:sz="4" w:space="0" w:color="auto"/>
              <w:left w:val="nil"/>
              <w:bottom w:val="single" w:sz="4" w:space="0" w:color="auto"/>
              <w:right w:val="single" w:sz="8" w:space="0" w:color="auto"/>
            </w:tcBorders>
            <w:vAlign w:val="center"/>
            <w:hideMark/>
          </w:tcPr>
          <w:p w14:paraId="221B7294" w14:textId="77777777" w:rsidR="00B07585" w:rsidRPr="00B07585" w:rsidRDefault="00B07585" w:rsidP="00B07585">
            <w:pPr>
              <w:widowControl/>
              <w:jc w:val="left"/>
              <w:rPr>
                <w:rFonts w:ascii="游ゴシック" w:eastAsia="游ゴシック" w:hAnsi="游ゴシック" w:cs="ＭＳ Ｐゴシック"/>
                <w:kern w:val="0"/>
                <w:sz w:val="22"/>
              </w:rPr>
            </w:pPr>
            <w:r w:rsidRPr="00B07585">
              <w:rPr>
                <w:rFonts w:ascii="游ゴシック" w:eastAsia="游ゴシック" w:hAnsi="游ゴシック" w:cs="ＭＳ Ｐゴシック" w:hint="eastAsia"/>
                <w:kern w:val="0"/>
                <w:sz w:val="22"/>
              </w:rPr>
              <w:t xml:space="preserve">　</w:t>
            </w:r>
          </w:p>
        </w:tc>
      </w:tr>
      <w:tr w:rsidR="00B07585" w:rsidRPr="00B07585" w14:paraId="7B460236" w14:textId="77777777" w:rsidTr="00B07585">
        <w:trPr>
          <w:cantSplit/>
          <w:trHeight w:val="1531"/>
        </w:trPr>
        <w:tc>
          <w:tcPr>
            <w:tcW w:w="0" w:type="auto"/>
            <w:vMerge/>
            <w:tcBorders>
              <w:top w:val="nil"/>
              <w:left w:val="single" w:sz="8" w:space="0" w:color="auto"/>
              <w:bottom w:val="single" w:sz="8" w:space="0" w:color="000000"/>
              <w:right w:val="single" w:sz="4" w:space="0" w:color="auto"/>
            </w:tcBorders>
            <w:vAlign w:val="center"/>
            <w:hideMark/>
          </w:tcPr>
          <w:p w14:paraId="41B26396"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08" w:type="dxa"/>
            <w:tcBorders>
              <w:top w:val="single" w:sz="4" w:space="0" w:color="auto"/>
              <w:left w:val="nil"/>
              <w:bottom w:val="single" w:sz="4" w:space="0" w:color="auto"/>
              <w:right w:val="single" w:sz="4" w:space="0" w:color="auto"/>
            </w:tcBorders>
            <w:noWrap/>
            <w:vAlign w:val="center"/>
            <w:hideMark/>
          </w:tcPr>
          <w:p w14:paraId="73A3438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410" w:type="dxa"/>
            <w:tcBorders>
              <w:top w:val="single" w:sz="4" w:space="0" w:color="auto"/>
              <w:left w:val="nil"/>
              <w:bottom w:val="single" w:sz="4" w:space="0" w:color="auto"/>
              <w:right w:val="single" w:sz="4" w:space="0" w:color="auto"/>
            </w:tcBorders>
            <w:vAlign w:val="center"/>
            <w:hideMark/>
          </w:tcPr>
          <w:p w14:paraId="5962DB00"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413" w:type="dxa"/>
            <w:tcBorders>
              <w:top w:val="nil"/>
              <w:left w:val="nil"/>
              <w:bottom w:val="single" w:sz="4" w:space="0" w:color="auto"/>
              <w:right w:val="single" w:sz="4" w:space="0" w:color="auto"/>
            </w:tcBorders>
            <w:noWrap/>
            <w:vAlign w:val="center"/>
            <w:hideMark/>
          </w:tcPr>
          <w:p w14:paraId="40786F22"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559" w:type="dxa"/>
            <w:tcBorders>
              <w:top w:val="single" w:sz="4" w:space="0" w:color="auto"/>
              <w:left w:val="nil"/>
              <w:bottom w:val="single" w:sz="4" w:space="0" w:color="auto"/>
              <w:right w:val="single" w:sz="4" w:space="0" w:color="auto"/>
            </w:tcBorders>
            <w:noWrap/>
            <w:vAlign w:val="center"/>
            <w:hideMark/>
          </w:tcPr>
          <w:p w14:paraId="674C46E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164" w:type="dxa"/>
            <w:tcBorders>
              <w:top w:val="single" w:sz="4" w:space="0" w:color="auto"/>
              <w:left w:val="nil"/>
              <w:bottom w:val="single" w:sz="4" w:space="0" w:color="auto"/>
              <w:right w:val="single" w:sz="4" w:space="0" w:color="auto"/>
            </w:tcBorders>
            <w:noWrap/>
            <w:vAlign w:val="center"/>
            <w:hideMark/>
          </w:tcPr>
          <w:p w14:paraId="7449577F"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992" w:type="dxa"/>
            <w:tcBorders>
              <w:top w:val="nil"/>
              <w:left w:val="nil"/>
              <w:bottom w:val="single" w:sz="4" w:space="0" w:color="auto"/>
              <w:right w:val="single" w:sz="4" w:space="0" w:color="auto"/>
            </w:tcBorders>
            <w:vAlign w:val="center"/>
            <w:hideMark/>
          </w:tcPr>
          <w:p w14:paraId="3CAE90D5"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86" w:type="dxa"/>
            <w:tcBorders>
              <w:top w:val="single" w:sz="4" w:space="0" w:color="auto"/>
              <w:left w:val="nil"/>
              <w:bottom w:val="single" w:sz="4" w:space="0" w:color="auto"/>
              <w:right w:val="single" w:sz="4" w:space="0" w:color="auto"/>
            </w:tcBorders>
            <w:noWrap/>
            <w:vAlign w:val="center"/>
            <w:hideMark/>
          </w:tcPr>
          <w:p w14:paraId="0FF7123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5743" w:type="dxa"/>
            <w:tcBorders>
              <w:top w:val="nil"/>
              <w:left w:val="nil"/>
              <w:bottom w:val="single" w:sz="4" w:space="0" w:color="auto"/>
              <w:right w:val="single" w:sz="8" w:space="0" w:color="auto"/>
            </w:tcBorders>
            <w:vAlign w:val="center"/>
            <w:hideMark/>
          </w:tcPr>
          <w:p w14:paraId="1482DC31" w14:textId="77777777" w:rsidR="00B07585" w:rsidRPr="00B07585" w:rsidRDefault="00B07585" w:rsidP="00B07585">
            <w:pPr>
              <w:widowControl/>
              <w:jc w:val="left"/>
              <w:rPr>
                <w:rFonts w:ascii="游ゴシック" w:eastAsia="游ゴシック" w:hAnsi="游ゴシック" w:cs="ＭＳ Ｐゴシック"/>
                <w:kern w:val="0"/>
                <w:sz w:val="22"/>
              </w:rPr>
            </w:pPr>
            <w:r w:rsidRPr="00B07585">
              <w:rPr>
                <w:rFonts w:ascii="游ゴシック" w:eastAsia="游ゴシック" w:hAnsi="游ゴシック" w:cs="ＭＳ Ｐゴシック" w:hint="eastAsia"/>
                <w:kern w:val="0"/>
                <w:sz w:val="22"/>
              </w:rPr>
              <w:t xml:space="preserve">　</w:t>
            </w:r>
          </w:p>
        </w:tc>
      </w:tr>
      <w:tr w:rsidR="00B07585" w:rsidRPr="00B07585" w14:paraId="0CE521D7" w14:textId="77777777" w:rsidTr="00B07585">
        <w:trPr>
          <w:cantSplit/>
          <w:trHeight w:val="1531"/>
        </w:trPr>
        <w:tc>
          <w:tcPr>
            <w:tcW w:w="0" w:type="auto"/>
            <w:vMerge/>
            <w:tcBorders>
              <w:top w:val="nil"/>
              <w:left w:val="single" w:sz="8" w:space="0" w:color="auto"/>
              <w:bottom w:val="single" w:sz="8" w:space="0" w:color="000000"/>
              <w:right w:val="single" w:sz="4" w:space="0" w:color="auto"/>
            </w:tcBorders>
            <w:vAlign w:val="center"/>
            <w:hideMark/>
          </w:tcPr>
          <w:p w14:paraId="47CFDD95"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08" w:type="dxa"/>
            <w:tcBorders>
              <w:top w:val="nil"/>
              <w:left w:val="nil"/>
              <w:bottom w:val="single" w:sz="4" w:space="0" w:color="auto"/>
              <w:right w:val="single" w:sz="4" w:space="0" w:color="auto"/>
            </w:tcBorders>
            <w:noWrap/>
            <w:vAlign w:val="center"/>
            <w:hideMark/>
          </w:tcPr>
          <w:p w14:paraId="0C7482A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410" w:type="dxa"/>
            <w:tcBorders>
              <w:top w:val="nil"/>
              <w:left w:val="nil"/>
              <w:bottom w:val="single" w:sz="4" w:space="0" w:color="auto"/>
              <w:right w:val="single" w:sz="4" w:space="0" w:color="auto"/>
            </w:tcBorders>
            <w:vAlign w:val="center"/>
            <w:hideMark/>
          </w:tcPr>
          <w:p w14:paraId="6CC54597"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413" w:type="dxa"/>
            <w:tcBorders>
              <w:top w:val="nil"/>
              <w:left w:val="nil"/>
              <w:bottom w:val="single" w:sz="4" w:space="0" w:color="auto"/>
              <w:right w:val="single" w:sz="4" w:space="0" w:color="auto"/>
            </w:tcBorders>
            <w:noWrap/>
            <w:vAlign w:val="center"/>
            <w:hideMark/>
          </w:tcPr>
          <w:p w14:paraId="670B948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559" w:type="dxa"/>
            <w:tcBorders>
              <w:top w:val="nil"/>
              <w:left w:val="nil"/>
              <w:bottom w:val="single" w:sz="4" w:space="0" w:color="auto"/>
              <w:right w:val="single" w:sz="4" w:space="0" w:color="auto"/>
            </w:tcBorders>
            <w:noWrap/>
            <w:vAlign w:val="center"/>
            <w:hideMark/>
          </w:tcPr>
          <w:p w14:paraId="424E2E27"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164" w:type="dxa"/>
            <w:tcBorders>
              <w:top w:val="nil"/>
              <w:left w:val="nil"/>
              <w:bottom w:val="single" w:sz="4" w:space="0" w:color="auto"/>
              <w:right w:val="single" w:sz="4" w:space="0" w:color="auto"/>
            </w:tcBorders>
            <w:noWrap/>
            <w:vAlign w:val="center"/>
            <w:hideMark/>
          </w:tcPr>
          <w:p w14:paraId="4C4D549A"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992" w:type="dxa"/>
            <w:tcBorders>
              <w:top w:val="nil"/>
              <w:left w:val="nil"/>
              <w:bottom w:val="single" w:sz="4" w:space="0" w:color="auto"/>
              <w:right w:val="single" w:sz="4" w:space="0" w:color="auto"/>
            </w:tcBorders>
            <w:vAlign w:val="center"/>
            <w:hideMark/>
          </w:tcPr>
          <w:p w14:paraId="4DB367E5"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86" w:type="dxa"/>
            <w:tcBorders>
              <w:top w:val="nil"/>
              <w:left w:val="nil"/>
              <w:bottom w:val="single" w:sz="4" w:space="0" w:color="auto"/>
              <w:right w:val="single" w:sz="4" w:space="0" w:color="auto"/>
            </w:tcBorders>
            <w:noWrap/>
            <w:vAlign w:val="center"/>
            <w:hideMark/>
          </w:tcPr>
          <w:p w14:paraId="76A58EC2"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5743" w:type="dxa"/>
            <w:tcBorders>
              <w:top w:val="nil"/>
              <w:left w:val="nil"/>
              <w:bottom w:val="single" w:sz="4" w:space="0" w:color="auto"/>
              <w:right w:val="single" w:sz="8" w:space="0" w:color="auto"/>
            </w:tcBorders>
            <w:vAlign w:val="center"/>
            <w:hideMark/>
          </w:tcPr>
          <w:p w14:paraId="4862AF1F" w14:textId="77777777" w:rsidR="00B07585" w:rsidRPr="00B07585" w:rsidRDefault="00B07585" w:rsidP="00B07585">
            <w:pPr>
              <w:widowControl/>
              <w:jc w:val="left"/>
              <w:rPr>
                <w:rFonts w:ascii="游ゴシック" w:eastAsia="游ゴシック" w:hAnsi="游ゴシック" w:cs="ＭＳ Ｐゴシック"/>
                <w:kern w:val="0"/>
                <w:sz w:val="22"/>
              </w:rPr>
            </w:pPr>
            <w:r w:rsidRPr="00B07585">
              <w:rPr>
                <w:rFonts w:ascii="游ゴシック" w:eastAsia="游ゴシック" w:hAnsi="游ゴシック" w:cs="ＭＳ Ｐゴシック" w:hint="eastAsia"/>
                <w:kern w:val="0"/>
                <w:sz w:val="22"/>
              </w:rPr>
              <w:t xml:space="preserve">　</w:t>
            </w:r>
          </w:p>
        </w:tc>
      </w:tr>
      <w:tr w:rsidR="00B07585" w:rsidRPr="00B07585" w14:paraId="08D9970B" w14:textId="77777777" w:rsidTr="00B07585">
        <w:trPr>
          <w:cantSplit/>
          <w:trHeight w:val="1531"/>
        </w:trPr>
        <w:tc>
          <w:tcPr>
            <w:tcW w:w="0" w:type="auto"/>
            <w:vMerge/>
            <w:tcBorders>
              <w:top w:val="nil"/>
              <w:left w:val="single" w:sz="8" w:space="0" w:color="auto"/>
              <w:bottom w:val="single" w:sz="8" w:space="0" w:color="000000"/>
              <w:right w:val="single" w:sz="4" w:space="0" w:color="auto"/>
            </w:tcBorders>
            <w:vAlign w:val="center"/>
            <w:hideMark/>
          </w:tcPr>
          <w:p w14:paraId="4D4FE5F5"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08" w:type="dxa"/>
            <w:tcBorders>
              <w:top w:val="nil"/>
              <w:left w:val="nil"/>
              <w:bottom w:val="single" w:sz="4" w:space="0" w:color="auto"/>
              <w:right w:val="single" w:sz="4" w:space="0" w:color="auto"/>
            </w:tcBorders>
            <w:noWrap/>
            <w:vAlign w:val="center"/>
            <w:hideMark/>
          </w:tcPr>
          <w:p w14:paraId="0D35D255"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410" w:type="dxa"/>
            <w:tcBorders>
              <w:top w:val="nil"/>
              <w:left w:val="nil"/>
              <w:bottom w:val="single" w:sz="4" w:space="0" w:color="auto"/>
              <w:right w:val="single" w:sz="4" w:space="0" w:color="auto"/>
            </w:tcBorders>
            <w:vAlign w:val="center"/>
            <w:hideMark/>
          </w:tcPr>
          <w:p w14:paraId="64D2B0B0"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413" w:type="dxa"/>
            <w:tcBorders>
              <w:top w:val="nil"/>
              <w:left w:val="nil"/>
              <w:bottom w:val="single" w:sz="4" w:space="0" w:color="auto"/>
              <w:right w:val="single" w:sz="4" w:space="0" w:color="auto"/>
            </w:tcBorders>
            <w:noWrap/>
            <w:vAlign w:val="center"/>
            <w:hideMark/>
          </w:tcPr>
          <w:p w14:paraId="01D1376B"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559" w:type="dxa"/>
            <w:tcBorders>
              <w:top w:val="nil"/>
              <w:left w:val="nil"/>
              <w:bottom w:val="single" w:sz="4" w:space="0" w:color="auto"/>
              <w:right w:val="single" w:sz="4" w:space="0" w:color="auto"/>
            </w:tcBorders>
            <w:noWrap/>
            <w:vAlign w:val="center"/>
            <w:hideMark/>
          </w:tcPr>
          <w:p w14:paraId="5247B16D"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164" w:type="dxa"/>
            <w:tcBorders>
              <w:top w:val="nil"/>
              <w:left w:val="nil"/>
              <w:bottom w:val="single" w:sz="4" w:space="0" w:color="auto"/>
              <w:right w:val="single" w:sz="4" w:space="0" w:color="auto"/>
            </w:tcBorders>
            <w:noWrap/>
            <w:vAlign w:val="center"/>
            <w:hideMark/>
          </w:tcPr>
          <w:p w14:paraId="236E8D3A"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992" w:type="dxa"/>
            <w:tcBorders>
              <w:top w:val="nil"/>
              <w:left w:val="nil"/>
              <w:bottom w:val="single" w:sz="4" w:space="0" w:color="auto"/>
              <w:right w:val="single" w:sz="4" w:space="0" w:color="auto"/>
            </w:tcBorders>
            <w:vAlign w:val="center"/>
            <w:hideMark/>
          </w:tcPr>
          <w:p w14:paraId="632CA064"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86" w:type="dxa"/>
            <w:tcBorders>
              <w:top w:val="nil"/>
              <w:left w:val="nil"/>
              <w:bottom w:val="single" w:sz="4" w:space="0" w:color="auto"/>
              <w:right w:val="single" w:sz="4" w:space="0" w:color="auto"/>
            </w:tcBorders>
            <w:noWrap/>
            <w:vAlign w:val="center"/>
            <w:hideMark/>
          </w:tcPr>
          <w:p w14:paraId="4212109E"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5743" w:type="dxa"/>
            <w:tcBorders>
              <w:top w:val="nil"/>
              <w:left w:val="nil"/>
              <w:bottom w:val="single" w:sz="4" w:space="0" w:color="auto"/>
              <w:right w:val="single" w:sz="8" w:space="0" w:color="auto"/>
            </w:tcBorders>
            <w:vAlign w:val="center"/>
            <w:hideMark/>
          </w:tcPr>
          <w:p w14:paraId="4A1453A4" w14:textId="77777777" w:rsidR="00B07585" w:rsidRPr="00B07585" w:rsidRDefault="00B07585" w:rsidP="00B07585">
            <w:pPr>
              <w:widowControl/>
              <w:jc w:val="left"/>
              <w:rPr>
                <w:rFonts w:ascii="游ゴシック" w:eastAsia="游ゴシック" w:hAnsi="游ゴシック" w:cs="ＭＳ Ｐゴシック"/>
                <w:kern w:val="0"/>
                <w:sz w:val="22"/>
              </w:rPr>
            </w:pPr>
            <w:r w:rsidRPr="00B07585">
              <w:rPr>
                <w:rFonts w:ascii="游ゴシック" w:eastAsia="游ゴシック" w:hAnsi="游ゴシック" w:cs="ＭＳ Ｐゴシック" w:hint="eastAsia"/>
                <w:kern w:val="0"/>
                <w:sz w:val="22"/>
              </w:rPr>
              <w:t xml:space="preserve">　</w:t>
            </w:r>
          </w:p>
        </w:tc>
      </w:tr>
      <w:tr w:rsidR="00B07585" w:rsidRPr="00B07585" w14:paraId="7E4FE702" w14:textId="77777777" w:rsidTr="00B07585">
        <w:trPr>
          <w:cantSplit/>
          <w:trHeight w:val="1531"/>
        </w:trPr>
        <w:tc>
          <w:tcPr>
            <w:tcW w:w="0" w:type="auto"/>
            <w:vMerge/>
            <w:tcBorders>
              <w:top w:val="nil"/>
              <w:left w:val="single" w:sz="8" w:space="0" w:color="auto"/>
              <w:bottom w:val="single" w:sz="8" w:space="0" w:color="000000"/>
              <w:right w:val="single" w:sz="4" w:space="0" w:color="auto"/>
            </w:tcBorders>
            <w:vAlign w:val="center"/>
            <w:hideMark/>
          </w:tcPr>
          <w:p w14:paraId="1E843A05"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08" w:type="dxa"/>
            <w:tcBorders>
              <w:top w:val="nil"/>
              <w:left w:val="nil"/>
              <w:bottom w:val="single" w:sz="4" w:space="0" w:color="auto"/>
              <w:right w:val="single" w:sz="4" w:space="0" w:color="auto"/>
            </w:tcBorders>
            <w:noWrap/>
            <w:vAlign w:val="center"/>
            <w:hideMark/>
          </w:tcPr>
          <w:p w14:paraId="51B28E0F"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410" w:type="dxa"/>
            <w:tcBorders>
              <w:top w:val="nil"/>
              <w:left w:val="nil"/>
              <w:bottom w:val="single" w:sz="4" w:space="0" w:color="auto"/>
              <w:right w:val="single" w:sz="4" w:space="0" w:color="auto"/>
            </w:tcBorders>
            <w:vAlign w:val="center"/>
            <w:hideMark/>
          </w:tcPr>
          <w:p w14:paraId="4A00B0C9"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413" w:type="dxa"/>
            <w:tcBorders>
              <w:top w:val="nil"/>
              <w:left w:val="nil"/>
              <w:bottom w:val="single" w:sz="4" w:space="0" w:color="auto"/>
              <w:right w:val="single" w:sz="4" w:space="0" w:color="auto"/>
            </w:tcBorders>
            <w:noWrap/>
            <w:vAlign w:val="center"/>
            <w:hideMark/>
          </w:tcPr>
          <w:p w14:paraId="178AF8F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559" w:type="dxa"/>
            <w:tcBorders>
              <w:top w:val="nil"/>
              <w:left w:val="nil"/>
              <w:bottom w:val="single" w:sz="4" w:space="0" w:color="auto"/>
              <w:right w:val="single" w:sz="4" w:space="0" w:color="auto"/>
            </w:tcBorders>
            <w:noWrap/>
            <w:vAlign w:val="center"/>
            <w:hideMark/>
          </w:tcPr>
          <w:p w14:paraId="497E15CA"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164" w:type="dxa"/>
            <w:tcBorders>
              <w:top w:val="nil"/>
              <w:left w:val="nil"/>
              <w:bottom w:val="single" w:sz="4" w:space="0" w:color="auto"/>
              <w:right w:val="single" w:sz="4" w:space="0" w:color="auto"/>
            </w:tcBorders>
            <w:noWrap/>
            <w:vAlign w:val="center"/>
            <w:hideMark/>
          </w:tcPr>
          <w:p w14:paraId="0516BC1B"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992" w:type="dxa"/>
            <w:tcBorders>
              <w:top w:val="nil"/>
              <w:left w:val="nil"/>
              <w:bottom w:val="single" w:sz="4" w:space="0" w:color="auto"/>
              <w:right w:val="single" w:sz="4" w:space="0" w:color="auto"/>
            </w:tcBorders>
            <w:vAlign w:val="center"/>
            <w:hideMark/>
          </w:tcPr>
          <w:p w14:paraId="543B037E"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86" w:type="dxa"/>
            <w:tcBorders>
              <w:top w:val="nil"/>
              <w:left w:val="nil"/>
              <w:bottom w:val="single" w:sz="4" w:space="0" w:color="auto"/>
              <w:right w:val="single" w:sz="4" w:space="0" w:color="auto"/>
            </w:tcBorders>
            <w:noWrap/>
            <w:vAlign w:val="center"/>
            <w:hideMark/>
          </w:tcPr>
          <w:p w14:paraId="7701CEA3"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5743" w:type="dxa"/>
            <w:tcBorders>
              <w:top w:val="nil"/>
              <w:left w:val="nil"/>
              <w:bottom w:val="single" w:sz="4" w:space="0" w:color="auto"/>
              <w:right w:val="single" w:sz="8" w:space="0" w:color="auto"/>
            </w:tcBorders>
            <w:vAlign w:val="center"/>
            <w:hideMark/>
          </w:tcPr>
          <w:p w14:paraId="1B614990" w14:textId="77777777" w:rsidR="00B07585" w:rsidRPr="00B07585" w:rsidRDefault="00B07585" w:rsidP="00B07585">
            <w:pPr>
              <w:widowControl/>
              <w:jc w:val="left"/>
              <w:rPr>
                <w:rFonts w:ascii="游ゴシック" w:eastAsia="游ゴシック" w:hAnsi="游ゴシック" w:cs="ＭＳ Ｐゴシック"/>
                <w:kern w:val="0"/>
                <w:sz w:val="22"/>
              </w:rPr>
            </w:pPr>
            <w:r w:rsidRPr="00B07585">
              <w:rPr>
                <w:rFonts w:ascii="游ゴシック" w:eastAsia="游ゴシック" w:hAnsi="游ゴシック" w:cs="ＭＳ Ｐゴシック" w:hint="eastAsia"/>
                <w:kern w:val="0"/>
                <w:sz w:val="22"/>
              </w:rPr>
              <w:t xml:space="preserve">　</w:t>
            </w:r>
          </w:p>
        </w:tc>
      </w:tr>
      <w:tr w:rsidR="00B07585" w:rsidRPr="00B07585" w14:paraId="770F3825" w14:textId="77777777" w:rsidTr="00B07585">
        <w:trPr>
          <w:cantSplit/>
          <w:trHeight w:val="1531"/>
        </w:trPr>
        <w:tc>
          <w:tcPr>
            <w:tcW w:w="0" w:type="auto"/>
            <w:vMerge/>
            <w:tcBorders>
              <w:top w:val="nil"/>
              <w:left w:val="single" w:sz="8" w:space="0" w:color="auto"/>
              <w:bottom w:val="single" w:sz="8" w:space="0" w:color="000000"/>
              <w:right w:val="single" w:sz="4" w:space="0" w:color="auto"/>
            </w:tcBorders>
            <w:vAlign w:val="center"/>
            <w:hideMark/>
          </w:tcPr>
          <w:p w14:paraId="5A5E45CA" w14:textId="77777777" w:rsidR="00B07585" w:rsidRPr="00B07585" w:rsidRDefault="00B07585" w:rsidP="00B07585">
            <w:pPr>
              <w:widowControl/>
              <w:jc w:val="left"/>
              <w:rPr>
                <w:rFonts w:ascii="ＭＳ 明朝" w:eastAsia="ＭＳ 明朝" w:hAnsi="ＭＳ 明朝" w:cs="ＭＳ Ｐゴシック"/>
                <w:kern w:val="0"/>
                <w:sz w:val="22"/>
              </w:rPr>
            </w:pPr>
          </w:p>
        </w:tc>
        <w:tc>
          <w:tcPr>
            <w:tcW w:w="2608" w:type="dxa"/>
            <w:tcBorders>
              <w:top w:val="nil"/>
              <w:left w:val="nil"/>
              <w:bottom w:val="single" w:sz="8" w:space="0" w:color="auto"/>
              <w:right w:val="single" w:sz="4" w:space="0" w:color="auto"/>
            </w:tcBorders>
            <w:noWrap/>
            <w:vAlign w:val="center"/>
            <w:hideMark/>
          </w:tcPr>
          <w:p w14:paraId="6DA83F34"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410" w:type="dxa"/>
            <w:tcBorders>
              <w:top w:val="nil"/>
              <w:left w:val="nil"/>
              <w:bottom w:val="single" w:sz="8" w:space="0" w:color="auto"/>
              <w:right w:val="single" w:sz="4" w:space="0" w:color="auto"/>
            </w:tcBorders>
            <w:vAlign w:val="center"/>
            <w:hideMark/>
          </w:tcPr>
          <w:p w14:paraId="6A8DB283"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413" w:type="dxa"/>
            <w:tcBorders>
              <w:top w:val="nil"/>
              <w:left w:val="nil"/>
              <w:bottom w:val="single" w:sz="8" w:space="0" w:color="auto"/>
              <w:right w:val="single" w:sz="4" w:space="0" w:color="auto"/>
            </w:tcBorders>
            <w:vAlign w:val="center"/>
            <w:hideMark/>
          </w:tcPr>
          <w:p w14:paraId="590638E9"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559" w:type="dxa"/>
            <w:tcBorders>
              <w:top w:val="nil"/>
              <w:left w:val="nil"/>
              <w:bottom w:val="single" w:sz="8" w:space="0" w:color="auto"/>
              <w:right w:val="single" w:sz="4" w:space="0" w:color="auto"/>
            </w:tcBorders>
            <w:noWrap/>
            <w:vAlign w:val="center"/>
            <w:hideMark/>
          </w:tcPr>
          <w:p w14:paraId="5EC21D02"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1164" w:type="dxa"/>
            <w:tcBorders>
              <w:top w:val="nil"/>
              <w:left w:val="nil"/>
              <w:bottom w:val="single" w:sz="8" w:space="0" w:color="auto"/>
              <w:right w:val="single" w:sz="4" w:space="0" w:color="auto"/>
            </w:tcBorders>
            <w:noWrap/>
            <w:vAlign w:val="center"/>
            <w:hideMark/>
          </w:tcPr>
          <w:p w14:paraId="57DFB1D0"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992" w:type="dxa"/>
            <w:tcBorders>
              <w:top w:val="nil"/>
              <w:left w:val="nil"/>
              <w:bottom w:val="single" w:sz="8" w:space="0" w:color="auto"/>
              <w:right w:val="single" w:sz="4" w:space="0" w:color="auto"/>
            </w:tcBorders>
            <w:vAlign w:val="center"/>
            <w:hideMark/>
          </w:tcPr>
          <w:p w14:paraId="3BB55B78"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2686" w:type="dxa"/>
            <w:tcBorders>
              <w:top w:val="nil"/>
              <w:left w:val="nil"/>
              <w:bottom w:val="single" w:sz="8" w:space="0" w:color="auto"/>
              <w:right w:val="single" w:sz="4" w:space="0" w:color="auto"/>
            </w:tcBorders>
            <w:noWrap/>
            <w:vAlign w:val="center"/>
            <w:hideMark/>
          </w:tcPr>
          <w:p w14:paraId="3782DB71" w14:textId="77777777" w:rsidR="00B07585" w:rsidRPr="00B07585" w:rsidRDefault="00B07585" w:rsidP="00B07585">
            <w:pPr>
              <w:widowControl/>
              <w:jc w:val="center"/>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xml:space="preserve">　</w:t>
            </w:r>
          </w:p>
        </w:tc>
        <w:tc>
          <w:tcPr>
            <w:tcW w:w="5743" w:type="dxa"/>
            <w:tcBorders>
              <w:top w:val="nil"/>
              <w:left w:val="nil"/>
              <w:bottom w:val="single" w:sz="8" w:space="0" w:color="auto"/>
              <w:right w:val="single" w:sz="8" w:space="0" w:color="auto"/>
            </w:tcBorders>
            <w:vAlign w:val="center"/>
            <w:hideMark/>
          </w:tcPr>
          <w:p w14:paraId="32295784" w14:textId="77777777" w:rsidR="00B07585" w:rsidRPr="00B07585" w:rsidRDefault="00B07585" w:rsidP="00B07585">
            <w:pPr>
              <w:widowControl/>
              <w:jc w:val="left"/>
              <w:rPr>
                <w:rFonts w:ascii="游ゴシック" w:eastAsia="游ゴシック" w:hAnsi="游ゴシック" w:cs="ＭＳ Ｐゴシック"/>
                <w:kern w:val="0"/>
                <w:sz w:val="22"/>
              </w:rPr>
            </w:pPr>
            <w:r w:rsidRPr="00B07585">
              <w:rPr>
                <w:rFonts w:ascii="游ゴシック" w:eastAsia="游ゴシック" w:hAnsi="游ゴシック" w:cs="ＭＳ Ｐゴシック" w:hint="eastAsia"/>
                <w:kern w:val="0"/>
                <w:sz w:val="22"/>
              </w:rPr>
              <w:t xml:space="preserve">　</w:t>
            </w:r>
          </w:p>
        </w:tc>
      </w:tr>
      <w:tr w:rsidR="00B07585" w:rsidRPr="00B07585" w14:paraId="15650653" w14:textId="77777777" w:rsidTr="00B07585">
        <w:trPr>
          <w:trHeight w:val="270"/>
        </w:trPr>
        <w:tc>
          <w:tcPr>
            <w:tcW w:w="0" w:type="auto"/>
            <w:tcBorders>
              <w:top w:val="nil"/>
              <w:left w:val="nil"/>
              <w:bottom w:val="nil"/>
              <w:right w:val="nil"/>
            </w:tcBorders>
            <w:noWrap/>
            <w:vAlign w:val="center"/>
            <w:hideMark/>
          </w:tcPr>
          <w:p w14:paraId="1DE9D170" w14:textId="77777777" w:rsidR="00B07585" w:rsidRPr="00B07585" w:rsidRDefault="00B07585" w:rsidP="00B07585">
            <w:pPr>
              <w:widowControl/>
              <w:jc w:val="left"/>
              <w:rPr>
                <w:rFonts w:ascii="游ゴシック" w:eastAsia="游ゴシック" w:hAnsi="游ゴシック" w:cs="ＭＳ Ｐゴシック"/>
                <w:kern w:val="0"/>
                <w:sz w:val="22"/>
              </w:rPr>
            </w:pPr>
          </w:p>
        </w:tc>
        <w:tc>
          <w:tcPr>
            <w:tcW w:w="5018" w:type="dxa"/>
            <w:gridSpan w:val="2"/>
            <w:tcBorders>
              <w:top w:val="single" w:sz="8" w:space="0" w:color="auto"/>
              <w:left w:val="nil"/>
              <w:bottom w:val="nil"/>
              <w:right w:val="nil"/>
            </w:tcBorders>
            <w:noWrap/>
            <w:vAlign w:val="center"/>
            <w:hideMark/>
          </w:tcPr>
          <w:p w14:paraId="2E14820A" w14:textId="77777777" w:rsidR="00B07585" w:rsidRPr="00B07585" w:rsidRDefault="00B07585" w:rsidP="00B07585">
            <w:pPr>
              <w:widowControl/>
              <w:jc w:val="left"/>
              <w:rPr>
                <w:rFonts w:ascii="ＭＳ 明朝" w:eastAsia="ＭＳ 明朝" w:hAnsi="ＭＳ 明朝" w:cs="ＭＳ Ｐゴシック"/>
                <w:kern w:val="0"/>
                <w:sz w:val="22"/>
              </w:rPr>
            </w:pPr>
            <w:r w:rsidRPr="00B07585">
              <w:rPr>
                <w:rFonts w:ascii="ＭＳ 明朝" w:eastAsia="ＭＳ 明朝" w:hAnsi="ＭＳ 明朝" w:cs="ＭＳ Ｐゴシック" w:hint="eastAsia"/>
                <w:kern w:val="0"/>
                <w:sz w:val="22"/>
              </w:rPr>
              <w:t>※　非常用発電機等は定格出力を記載する。</w:t>
            </w:r>
          </w:p>
        </w:tc>
        <w:tc>
          <w:tcPr>
            <w:tcW w:w="1413" w:type="dxa"/>
            <w:tcBorders>
              <w:top w:val="nil"/>
              <w:left w:val="nil"/>
              <w:bottom w:val="nil"/>
              <w:right w:val="nil"/>
            </w:tcBorders>
            <w:noWrap/>
            <w:vAlign w:val="center"/>
            <w:hideMark/>
          </w:tcPr>
          <w:p w14:paraId="63CD96FE" w14:textId="77777777" w:rsidR="00B07585" w:rsidRPr="00B07585" w:rsidRDefault="00B07585" w:rsidP="00B07585">
            <w:pPr>
              <w:widowControl/>
              <w:jc w:val="left"/>
              <w:rPr>
                <w:rFonts w:ascii="ＭＳ 明朝" w:eastAsia="ＭＳ 明朝" w:hAnsi="ＭＳ 明朝" w:cs="ＭＳ Ｐゴシック"/>
                <w:kern w:val="0"/>
                <w:sz w:val="22"/>
              </w:rPr>
            </w:pPr>
          </w:p>
        </w:tc>
        <w:tc>
          <w:tcPr>
            <w:tcW w:w="1559" w:type="dxa"/>
            <w:tcBorders>
              <w:top w:val="nil"/>
              <w:left w:val="nil"/>
              <w:bottom w:val="nil"/>
              <w:right w:val="nil"/>
            </w:tcBorders>
            <w:noWrap/>
            <w:vAlign w:val="center"/>
            <w:hideMark/>
          </w:tcPr>
          <w:p w14:paraId="6126748D" w14:textId="77777777" w:rsidR="00B07585" w:rsidRPr="00B07585" w:rsidRDefault="00B07585" w:rsidP="00B07585">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noWrap/>
            <w:vAlign w:val="center"/>
            <w:hideMark/>
          </w:tcPr>
          <w:p w14:paraId="1B521CBE" w14:textId="77777777" w:rsidR="00B07585" w:rsidRPr="00B07585" w:rsidRDefault="00B07585" w:rsidP="00B07585">
            <w:pPr>
              <w:widowControl/>
              <w:jc w:val="left"/>
              <w:rPr>
                <w:rFonts w:ascii="Times New Roman" w:eastAsia="Times New Roman" w:hAnsi="Times New Roman" w:cs="Times New Roman"/>
                <w:kern w:val="0"/>
                <w:sz w:val="20"/>
                <w:szCs w:val="20"/>
              </w:rPr>
            </w:pPr>
          </w:p>
        </w:tc>
        <w:tc>
          <w:tcPr>
            <w:tcW w:w="2992" w:type="dxa"/>
            <w:tcBorders>
              <w:top w:val="nil"/>
              <w:left w:val="nil"/>
              <w:bottom w:val="nil"/>
              <w:right w:val="nil"/>
            </w:tcBorders>
            <w:noWrap/>
            <w:vAlign w:val="center"/>
            <w:hideMark/>
          </w:tcPr>
          <w:p w14:paraId="38255E7F" w14:textId="77777777" w:rsidR="00B07585" w:rsidRPr="00B07585" w:rsidRDefault="00B07585" w:rsidP="00B07585">
            <w:pPr>
              <w:widowControl/>
              <w:jc w:val="left"/>
              <w:rPr>
                <w:rFonts w:ascii="Times New Roman" w:eastAsia="Times New Roman" w:hAnsi="Times New Roman" w:cs="Times New Roman"/>
                <w:kern w:val="0"/>
                <w:sz w:val="20"/>
                <w:szCs w:val="20"/>
              </w:rPr>
            </w:pPr>
          </w:p>
        </w:tc>
        <w:tc>
          <w:tcPr>
            <w:tcW w:w="2686" w:type="dxa"/>
            <w:tcBorders>
              <w:top w:val="nil"/>
              <w:left w:val="nil"/>
              <w:bottom w:val="nil"/>
              <w:right w:val="nil"/>
            </w:tcBorders>
            <w:noWrap/>
            <w:vAlign w:val="center"/>
            <w:hideMark/>
          </w:tcPr>
          <w:p w14:paraId="0CA6EDD4" w14:textId="77777777" w:rsidR="00B07585" w:rsidRPr="00B07585" w:rsidRDefault="00B07585" w:rsidP="00B07585">
            <w:pPr>
              <w:widowControl/>
              <w:jc w:val="left"/>
              <w:rPr>
                <w:rFonts w:ascii="Times New Roman" w:eastAsia="Times New Roman" w:hAnsi="Times New Roman" w:cs="Times New Roman"/>
                <w:kern w:val="0"/>
                <w:sz w:val="20"/>
                <w:szCs w:val="20"/>
              </w:rPr>
            </w:pPr>
          </w:p>
        </w:tc>
        <w:tc>
          <w:tcPr>
            <w:tcW w:w="5743" w:type="dxa"/>
            <w:tcBorders>
              <w:top w:val="nil"/>
              <w:left w:val="nil"/>
              <w:bottom w:val="nil"/>
              <w:right w:val="nil"/>
            </w:tcBorders>
            <w:noWrap/>
            <w:vAlign w:val="center"/>
            <w:hideMark/>
          </w:tcPr>
          <w:p w14:paraId="7AFEA0A0" w14:textId="77777777" w:rsidR="00B07585" w:rsidRPr="00B07585" w:rsidRDefault="00B07585" w:rsidP="00B07585">
            <w:pPr>
              <w:widowControl/>
              <w:jc w:val="left"/>
              <w:rPr>
                <w:rFonts w:ascii="Times New Roman" w:eastAsia="Times New Roman" w:hAnsi="Times New Roman" w:cs="Times New Roman"/>
                <w:kern w:val="0"/>
                <w:sz w:val="20"/>
                <w:szCs w:val="20"/>
              </w:rPr>
            </w:pPr>
          </w:p>
        </w:tc>
      </w:tr>
    </w:tbl>
    <w:p w14:paraId="4CF13786" w14:textId="164E696B" w:rsidR="00520F46" w:rsidRPr="00B07585" w:rsidRDefault="00520F46" w:rsidP="008C0C3B">
      <w:pPr>
        <w:widowControl/>
        <w:jc w:val="left"/>
        <w:rPr>
          <w:vanish/>
          <w:sz w:val="22"/>
        </w:rPr>
      </w:pPr>
    </w:p>
    <w:sectPr w:rsidR="00520F46" w:rsidRPr="00B07585" w:rsidSect="00B07585">
      <w:pgSz w:w="23811" w:h="16838" w:orient="landscape" w:code="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0836" w14:textId="77777777" w:rsidR="00D6645D" w:rsidRDefault="00D6645D" w:rsidP="00B07585">
      <w:r>
        <w:separator/>
      </w:r>
    </w:p>
  </w:endnote>
  <w:endnote w:type="continuationSeparator" w:id="0">
    <w:p w14:paraId="3AAEFD97" w14:textId="77777777" w:rsidR="00D6645D" w:rsidRDefault="00D6645D" w:rsidP="00B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本文のフォント - 日・">
    <w:altName w:val="ＭＳ 明朝"/>
    <w:panose1 w:val="00000000000000000000"/>
    <w:charset w:val="80"/>
    <w:family w:val="roman"/>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0691" w14:textId="77777777" w:rsidR="00D6645D" w:rsidRDefault="00D6645D" w:rsidP="00B07585">
      <w:r>
        <w:separator/>
      </w:r>
    </w:p>
  </w:footnote>
  <w:footnote w:type="continuationSeparator" w:id="0">
    <w:p w14:paraId="06F150AC" w14:textId="77777777" w:rsidR="00D6645D" w:rsidRDefault="00D6645D" w:rsidP="00B07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2F"/>
    <w:rsid w:val="00022AE8"/>
    <w:rsid w:val="000616A8"/>
    <w:rsid w:val="00072056"/>
    <w:rsid w:val="00075476"/>
    <w:rsid w:val="00092455"/>
    <w:rsid w:val="000A3566"/>
    <w:rsid w:val="000A6BCC"/>
    <w:rsid w:val="000E0F59"/>
    <w:rsid w:val="000E423B"/>
    <w:rsid w:val="0012724F"/>
    <w:rsid w:val="0015149E"/>
    <w:rsid w:val="00151E88"/>
    <w:rsid w:val="00156D07"/>
    <w:rsid w:val="001729E2"/>
    <w:rsid w:val="00190334"/>
    <w:rsid w:val="001A23C2"/>
    <w:rsid w:val="001A3B3E"/>
    <w:rsid w:val="001C23F1"/>
    <w:rsid w:val="001C31EE"/>
    <w:rsid w:val="001F0B8B"/>
    <w:rsid w:val="001F1EE9"/>
    <w:rsid w:val="0020274D"/>
    <w:rsid w:val="00220FF1"/>
    <w:rsid w:val="00296732"/>
    <w:rsid w:val="00306CEA"/>
    <w:rsid w:val="003158C3"/>
    <w:rsid w:val="00316809"/>
    <w:rsid w:val="0032167D"/>
    <w:rsid w:val="003646D2"/>
    <w:rsid w:val="00365D82"/>
    <w:rsid w:val="00367A17"/>
    <w:rsid w:val="0037088A"/>
    <w:rsid w:val="003738FE"/>
    <w:rsid w:val="003D2F9A"/>
    <w:rsid w:val="003D3101"/>
    <w:rsid w:val="00421C12"/>
    <w:rsid w:val="004751E0"/>
    <w:rsid w:val="00475ED9"/>
    <w:rsid w:val="00476513"/>
    <w:rsid w:val="004D3E73"/>
    <w:rsid w:val="004D6B00"/>
    <w:rsid w:val="00520F46"/>
    <w:rsid w:val="005230EF"/>
    <w:rsid w:val="0052784A"/>
    <w:rsid w:val="00541DF1"/>
    <w:rsid w:val="0054641F"/>
    <w:rsid w:val="00553604"/>
    <w:rsid w:val="0058342B"/>
    <w:rsid w:val="005A1874"/>
    <w:rsid w:val="005B0517"/>
    <w:rsid w:val="005C5B36"/>
    <w:rsid w:val="005D37E4"/>
    <w:rsid w:val="005E6D45"/>
    <w:rsid w:val="005F3879"/>
    <w:rsid w:val="00603E40"/>
    <w:rsid w:val="006148E4"/>
    <w:rsid w:val="0062164B"/>
    <w:rsid w:val="00624554"/>
    <w:rsid w:val="00632D1F"/>
    <w:rsid w:val="006458A7"/>
    <w:rsid w:val="00662263"/>
    <w:rsid w:val="00666003"/>
    <w:rsid w:val="006C7500"/>
    <w:rsid w:val="006E26B1"/>
    <w:rsid w:val="006E7BDA"/>
    <w:rsid w:val="00702407"/>
    <w:rsid w:val="00722EAC"/>
    <w:rsid w:val="00736958"/>
    <w:rsid w:val="00744C17"/>
    <w:rsid w:val="00763C7E"/>
    <w:rsid w:val="007757B0"/>
    <w:rsid w:val="0078175B"/>
    <w:rsid w:val="00783CB2"/>
    <w:rsid w:val="00795475"/>
    <w:rsid w:val="007A185B"/>
    <w:rsid w:val="007B18B5"/>
    <w:rsid w:val="007B3C43"/>
    <w:rsid w:val="007C1DDD"/>
    <w:rsid w:val="007C205B"/>
    <w:rsid w:val="007E7C19"/>
    <w:rsid w:val="007F01BD"/>
    <w:rsid w:val="007F369C"/>
    <w:rsid w:val="00835E22"/>
    <w:rsid w:val="00836612"/>
    <w:rsid w:val="00840AEC"/>
    <w:rsid w:val="008520C7"/>
    <w:rsid w:val="0086573E"/>
    <w:rsid w:val="008A0895"/>
    <w:rsid w:val="008A50AA"/>
    <w:rsid w:val="008B7618"/>
    <w:rsid w:val="008C0C3B"/>
    <w:rsid w:val="008C5B03"/>
    <w:rsid w:val="008D1B11"/>
    <w:rsid w:val="008D579B"/>
    <w:rsid w:val="009003E1"/>
    <w:rsid w:val="00906040"/>
    <w:rsid w:val="0090738A"/>
    <w:rsid w:val="0092363C"/>
    <w:rsid w:val="00925A2F"/>
    <w:rsid w:val="00962B30"/>
    <w:rsid w:val="00971181"/>
    <w:rsid w:val="00972873"/>
    <w:rsid w:val="009735AD"/>
    <w:rsid w:val="009920F9"/>
    <w:rsid w:val="00997B30"/>
    <w:rsid w:val="009B0684"/>
    <w:rsid w:val="009B14E5"/>
    <w:rsid w:val="009B5E33"/>
    <w:rsid w:val="009C2C89"/>
    <w:rsid w:val="009D6B1A"/>
    <w:rsid w:val="009D7527"/>
    <w:rsid w:val="009F4511"/>
    <w:rsid w:val="009F5CFA"/>
    <w:rsid w:val="00A1541E"/>
    <w:rsid w:val="00A661C4"/>
    <w:rsid w:val="00A867C4"/>
    <w:rsid w:val="00A87F06"/>
    <w:rsid w:val="00AE3ED9"/>
    <w:rsid w:val="00AF4029"/>
    <w:rsid w:val="00AF5112"/>
    <w:rsid w:val="00B07585"/>
    <w:rsid w:val="00B469A5"/>
    <w:rsid w:val="00B537CD"/>
    <w:rsid w:val="00B62433"/>
    <w:rsid w:val="00B70F37"/>
    <w:rsid w:val="00B718AB"/>
    <w:rsid w:val="00BA6FB9"/>
    <w:rsid w:val="00BB14EE"/>
    <w:rsid w:val="00BC0A81"/>
    <w:rsid w:val="00BC6470"/>
    <w:rsid w:val="00BC68C1"/>
    <w:rsid w:val="00BC6A81"/>
    <w:rsid w:val="00BE0C27"/>
    <w:rsid w:val="00C05165"/>
    <w:rsid w:val="00C05A21"/>
    <w:rsid w:val="00C06E04"/>
    <w:rsid w:val="00C22B28"/>
    <w:rsid w:val="00C30E3A"/>
    <w:rsid w:val="00C322B8"/>
    <w:rsid w:val="00C326C1"/>
    <w:rsid w:val="00C35ACA"/>
    <w:rsid w:val="00C40BD5"/>
    <w:rsid w:val="00C6222D"/>
    <w:rsid w:val="00C664D3"/>
    <w:rsid w:val="00C8474A"/>
    <w:rsid w:val="00C85448"/>
    <w:rsid w:val="00C92A38"/>
    <w:rsid w:val="00CB2EEC"/>
    <w:rsid w:val="00CB7394"/>
    <w:rsid w:val="00CB7680"/>
    <w:rsid w:val="00CD4D49"/>
    <w:rsid w:val="00CE0FDD"/>
    <w:rsid w:val="00CF14D1"/>
    <w:rsid w:val="00D01BFF"/>
    <w:rsid w:val="00D14613"/>
    <w:rsid w:val="00D6645D"/>
    <w:rsid w:val="00D71F7A"/>
    <w:rsid w:val="00D7387F"/>
    <w:rsid w:val="00DB138C"/>
    <w:rsid w:val="00DB6408"/>
    <w:rsid w:val="00DD1B88"/>
    <w:rsid w:val="00DE554B"/>
    <w:rsid w:val="00DF17DA"/>
    <w:rsid w:val="00E038AA"/>
    <w:rsid w:val="00E104D8"/>
    <w:rsid w:val="00E62F49"/>
    <w:rsid w:val="00E92484"/>
    <w:rsid w:val="00EA1669"/>
    <w:rsid w:val="00EA2A13"/>
    <w:rsid w:val="00EB1202"/>
    <w:rsid w:val="00EC5669"/>
    <w:rsid w:val="00ED2257"/>
    <w:rsid w:val="00ED6CA6"/>
    <w:rsid w:val="00EF51B2"/>
    <w:rsid w:val="00F0074B"/>
    <w:rsid w:val="00F37CD3"/>
    <w:rsid w:val="00F477FC"/>
    <w:rsid w:val="00F57808"/>
    <w:rsid w:val="00F758AD"/>
    <w:rsid w:val="00F9623F"/>
    <w:rsid w:val="00FB1ED4"/>
    <w:rsid w:val="00FB7209"/>
    <w:rsid w:val="00FD0DC6"/>
    <w:rsid w:val="00FE08FE"/>
    <w:rsid w:val="00FF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C4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イ）（ロ）（ハ）"/>
    <w:basedOn w:val="a"/>
    <w:rsid w:val="00367A17"/>
    <w:pPr>
      <w:overflowPunct w:val="0"/>
      <w:autoSpaceDE w:val="0"/>
      <w:autoSpaceDN w:val="0"/>
      <w:ind w:leftChars="200" w:left="400" w:hangingChars="200" w:hanging="200"/>
      <w:outlineLvl w:val="4"/>
    </w:pPr>
    <w:rPr>
      <w:rFonts w:ascii="ＭＳ 明朝" w:eastAsia="ＭＳ 明朝" w:hAnsi="Century" w:cs="Times New Roman"/>
      <w:sz w:val="24"/>
      <w:szCs w:val="20"/>
    </w:rPr>
  </w:style>
  <w:style w:type="paragraph" w:styleId="a4">
    <w:name w:val="Balloon Text"/>
    <w:basedOn w:val="a"/>
    <w:link w:val="a5"/>
    <w:uiPriority w:val="99"/>
    <w:semiHidden/>
    <w:unhideWhenUsed/>
    <w:rsid w:val="009003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03E1"/>
    <w:rPr>
      <w:rFonts w:asciiTheme="majorHAnsi" w:eastAsiaTheme="majorEastAsia" w:hAnsiTheme="majorHAnsi" w:cstheme="majorBidi"/>
      <w:sz w:val="18"/>
      <w:szCs w:val="18"/>
    </w:rPr>
  </w:style>
  <w:style w:type="paragraph" w:styleId="a6">
    <w:name w:val="header"/>
    <w:basedOn w:val="a"/>
    <w:link w:val="a7"/>
    <w:uiPriority w:val="99"/>
    <w:unhideWhenUsed/>
    <w:rsid w:val="005230EF"/>
    <w:pPr>
      <w:tabs>
        <w:tab w:val="center" w:pos="4252"/>
        <w:tab w:val="right" w:pos="8504"/>
      </w:tabs>
      <w:snapToGrid w:val="0"/>
    </w:pPr>
  </w:style>
  <w:style w:type="character" w:customStyle="1" w:styleId="a7">
    <w:name w:val="ヘッダー (文字)"/>
    <w:basedOn w:val="a0"/>
    <w:link w:val="a6"/>
    <w:uiPriority w:val="99"/>
    <w:rsid w:val="005230EF"/>
  </w:style>
  <w:style w:type="paragraph" w:styleId="a8">
    <w:name w:val="footer"/>
    <w:basedOn w:val="a"/>
    <w:link w:val="a9"/>
    <w:uiPriority w:val="99"/>
    <w:unhideWhenUsed/>
    <w:rsid w:val="005230EF"/>
    <w:pPr>
      <w:tabs>
        <w:tab w:val="center" w:pos="4252"/>
        <w:tab w:val="right" w:pos="8504"/>
      </w:tabs>
      <w:snapToGrid w:val="0"/>
    </w:pPr>
  </w:style>
  <w:style w:type="character" w:customStyle="1" w:styleId="a9">
    <w:name w:val="フッター (文字)"/>
    <w:basedOn w:val="a0"/>
    <w:link w:val="a8"/>
    <w:uiPriority w:val="99"/>
    <w:rsid w:val="005230EF"/>
  </w:style>
  <w:style w:type="character" w:styleId="aa">
    <w:name w:val="annotation reference"/>
    <w:basedOn w:val="a0"/>
    <w:uiPriority w:val="99"/>
    <w:semiHidden/>
    <w:unhideWhenUsed/>
    <w:rsid w:val="00CB2EEC"/>
    <w:rPr>
      <w:sz w:val="18"/>
      <w:szCs w:val="18"/>
    </w:rPr>
  </w:style>
  <w:style w:type="paragraph" w:styleId="ab">
    <w:name w:val="annotation text"/>
    <w:basedOn w:val="a"/>
    <w:link w:val="ac"/>
    <w:uiPriority w:val="99"/>
    <w:semiHidden/>
    <w:unhideWhenUsed/>
    <w:rsid w:val="00CB2EEC"/>
    <w:pPr>
      <w:jc w:val="left"/>
    </w:pPr>
  </w:style>
  <w:style w:type="character" w:customStyle="1" w:styleId="ac">
    <w:name w:val="コメント文字列 (文字)"/>
    <w:basedOn w:val="a0"/>
    <w:link w:val="ab"/>
    <w:uiPriority w:val="99"/>
    <w:semiHidden/>
    <w:rsid w:val="00CB2EEC"/>
  </w:style>
  <w:style w:type="paragraph" w:styleId="ad">
    <w:name w:val="annotation subject"/>
    <w:basedOn w:val="ab"/>
    <w:next w:val="ab"/>
    <w:link w:val="ae"/>
    <w:uiPriority w:val="99"/>
    <w:semiHidden/>
    <w:unhideWhenUsed/>
    <w:rsid w:val="00666003"/>
    <w:rPr>
      <w:b/>
      <w:bCs/>
    </w:rPr>
  </w:style>
  <w:style w:type="character" w:customStyle="1" w:styleId="ae">
    <w:name w:val="コメント内容 (文字)"/>
    <w:basedOn w:val="ac"/>
    <w:link w:val="ad"/>
    <w:uiPriority w:val="99"/>
    <w:semiHidden/>
    <w:rsid w:val="00666003"/>
    <w:rPr>
      <w:b/>
      <w:bCs/>
    </w:rPr>
  </w:style>
  <w:style w:type="table" w:styleId="af">
    <w:name w:val="Table Grid"/>
    <w:basedOn w:val="a1"/>
    <w:uiPriority w:val="39"/>
    <w:rsid w:val="006E2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E92484"/>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1202"/>
    <w:tblPr>
      <w:tblCellMar>
        <w:top w:w="0" w:type="dxa"/>
        <w:left w:w="0" w:type="dxa"/>
        <w:bottom w:w="0" w:type="dxa"/>
        <w:right w:w="0" w:type="dxa"/>
      </w:tblCellMar>
    </w:tblPr>
  </w:style>
  <w:style w:type="table" w:customStyle="1" w:styleId="TableGrid1">
    <w:name w:val="TableGrid1"/>
    <w:rsid w:val="00EB1202"/>
    <w:tblPr>
      <w:tblCellMar>
        <w:top w:w="0" w:type="dxa"/>
        <w:left w:w="0" w:type="dxa"/>
        <w:bottom w:w="0" w:type="dxa"/>
        <w:right w:w="0" w:type="dxa"/>
      </w:tblCellMar>
    </w:tblPr>
  </w:style>
  <w:style w:type="character" w:styleId="af0">
    <w:name w:val="Hyperlink"/>
    <w:basedOn w:val="a0"/>
    <w:uiPriority w:val="99"/>
    <w:unhideWhenUsed/>
    <w:rsid w:val="00CB7394"/>
    <w:rPr>
      <w:color w:val="0563C1" w:themeColor="hyperlink"/>
      <w:u w:val="single"/>
    </w:rPr>
  </w:style>
  <w:style w:type="character" w:styleId="af1">
    <w:name w:val="FollowedHyperlink"/>
    <w:basedOn w:val="a0"/>
    <w:uiPriority w:val="99"/>
    <w:semiHidden/>
    <w:unhideWhenUsed/>
    <w:rsid w:val="005A1874"/>
    <w:rPr>
      <w:color w:val="954F72" w:themeColor="followedHyperlink"/>
      <w:u w:val="single"/>
    </w:rPr>
  </w:style>
  <w:style w:type="paragraph" w:styleId="af2">
    <w:name w:val="Revision"/>
    <w:hidden/>
    <w:uiPriority w:val="99"/>
    <w:semiHidden/>
    <w:rsid w:val="001C23F1"/>
  </w:style>
  <w:style w:type="paragraph" w:styleId="af3">
    <w:name w:val="List Paragraph"/>
    <w:basedOn w:val="a"/>
    <w:uiPriority w:val="34"/>
    <w:qFormat/>
    <w:rsid w:val="00B70F37"/>
    <w:pPr>
      <w:ind w:leftChars="400" w:left="840"/>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3819">
      <w:bodyDiv w:val="1"/>
      <w:marLeft w:val="0"/>
      <w:marRight w:val="0"/>
      <w:marTop w:val="0"/>
      <w:marBottom w:val="0"/>
      <w:divBdr>
        <w:top w:val="none" w:sz="0" w:space="0" w:color="auto"/>
        <w:left w:val="none" w:sz="0" w:space="0" w:color="auto"/>
        <w:bottom w:val="none" w:sz="0" w:space="0" w:color="auto"/>
        <w:right w:val="none" w:sz="0" w:space="0" w:color="auto"/>
      </w:divBdr>
    </w:div>
    <w:div w:id="641160795">
      <w:bodyDiv w:val="1"/>
      <w:marLeft w:val="0"/>
      <w:marRight w:val="0"/>
      <w:marTop w:val="0"/>
      <w:marBottom w:val="0"/>
      <w:divBdr>
        <w:top w:val="none" w:sz="0" w:space="0" w:color="auto"/>
        <w:left w:val="none" w:sz="0" w:space="0" w:color="auto"/>
        <w:bottom w:val="none" w:sz="0" w:space="0" w:color="auto"/>
        <w:right w:val="none" w:sz="0" w:space="0" w:color="auto"/>
      </w:divBdr>
    </w:div>
    <w:div w:id="660699822">
      <w:bodyDiv w:val="1"/>
      <w:marLeft w:val="0"/>
      <w:marRight w:val="0"/>
      <w:marTop w:val="0"/>
      <w:marBottom w:val="0"/>
      <w:divBdr>
        <w:top w:val="none" w:sz="0" w:space="0" w:color="auto"/>
        <w:left w:val="none" w:sz="0" w:space="0" w:color="auto"/>
        <w:bottom w:val="none" w:sz="0" w:space="0" w:color="auto"/>
        <w:right w:val="none" w:sz="0" w:space="0" w:color="auto"/>
      </w:divBdr>
    </w:div>
    <w:div w:id="1297881498">
      <w:bodyDiv w:val="1"/>
      <w:marLeft w:val="0"/>
      <w:marRight w:val="0"/>
      <w:marTop w:val="0"/>
      <w:marBottom w:val="0"/>
      <w:divBdr>
        <w:top w:val="none" w:sz="0" w:space="0" w:color="auto"/>
        <w:left w:val="none" w:sz="0" w:space="0" w:color="auto"/>
        <w:bottom w:val="none" w:sz="0" w:space="0" w:color="auto"/>
        <w:right w:val="none" w:sz="0" w:space="0" w:color="auto"/>
      </w:divBdr>
    </w:div>
    <w:div w:id="1555774275">
      <w:bodyDiv w:val="1"/>
      <w:marLeft w:val="0"/>
      <w:marRight w:val="0"/>
      <w:marTop w:val="0"/>
      <w:marBottom w:val="0"/>
      <w:divBdr>
        <w:top w:val="none" w:sz="0" w:space="0" w:color="auto"/>
        <w:left w:val="none" w:sz="0" w:space="0" w:color="auto"/>
        <w:bottom w:val="none" w:sz="0" w:space="0" w:color="auto"/>
        <w:right w:val="none" w:sz="0" w:space="0" w:color="auto"/>
      </w:divBdr>
    </w:div>
    <w:div w:id="20860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E7FB-CB3B-4E44-9F37-CEBF1593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1478</Words>
  <Characters>8429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（別冊）2030年度ブラックスタート機能契約書【標準契約書】（案）</dc:title>
  <dc:subject/>
  <dc:creator>中部電力パワーグリッド株式会社</dc:creator>
  <cp:keywords/>
  <dc:description/>
  <cp:lastModifiedBy/>
  <cp:revision>1</cp:revision>
  <dcterms:created xsi:type="dcterms:W3CDTF">2025-09-05T05:08:00Z</dcterms:created>
  <dcterms:modified xsi:type="dcterms:W3CDTF">2025-09-05T05:08:00Z</dcterms:modified>
</cp:coreProperties>
</file>